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E" w:rsidRPr="00FA5D10" w:rsidRDefault="00A07F7E" w:rsidP="00A07F7E">
      <w:pPr>
        <w:pStyle w:val="Title"/>
        <w:tabs>
          <w:tab w:val="center" w:pos="567"/>
        </w:tabs>
        <w:rPr>
          <w:bCs/>
          <w:iCs/>
        </w:rPr>
      </w:pPr>
      <w:bookmarkStart w:id="0" w:name="_GoBack"/>
      <w:bookmarkEnd w:id="0"/>
      <w:r w:rsidRPr="00FA5D10">
        <w:rPr>
          <w:bCs/>
          <w:iCs/>
        </w:rPr>
        <w:t>МЕТОДИКА ЗА ОЦЕНКА И КЛАСИРАНЕ НА ОФЕРТИ</w:t>
      </w:r>
    </w:p>
    <w:p w:rsidR="00A07F7E" w:rsidRPr="00FA5D10" w:rsidRDefault="00A07F7E" w:rsidP="00A07F7E">
      <w:pPr>
        <w:pStyle w:val="Title"/>
        <w:tabs>
          <w:tab w:val="center" w:pos="567"/>
        </w:tabs>
        <w:rPr>
          <w:bCs/>
          <w:iCs/>
        </w:rPr>
      </w:pPr>
    </w:p>
    <w:p w:rsidR="00C64989" w:rsidRPr="00064FFE" w:rsidRDefault="00C64989" w:rsidP="00C64989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За и</w:t>
      </w:r>
      <w:r w:rsidRPr="000265E6">
        <w:rPr>
          <w:rFonts w:ascii="Times New Roman" w:eastAsia="Times New Roman" w:hAnsi="Times New Roman"/>
          <w:sz w:val="24"/>
          <w:szCs w:val="24"/>
          <w:lang w:eastAsia="en-GB"/>
        </w:rPr>
        <w:t xml:space="preserve">збор на изпълнител на: </w:t>
      </w:r>
      <w:r w:rsidRPr="00064FFE">
        <w:rPr>
          <w:rFonts w:ascii="Times New Roman" w:eastAsia="Times New Roman" w:hAnsi="Times New Roman"/>
          <w:b/>
          <w:sz w:val="24"/>
          <w:szCs w:val="24"/>
          <w:lang w:eastAsia="bg-BG"/>
        </w:rPr>
        <w:t>„Доставка и монтаж на обзавеждане и техническо оборудване за детските градини в Община Садово”</w:t>
      </w:r>
    </w:p>
    <w:p w:rsidR="00C64989" w:rsidRPr="000265E6" w:rsidRDefault="00C64989" w:rsidP="00C6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7F7E" w:rsidRPr="00FA5D10" w:rsidRDefault="00A07F7E" w:rsidP="00A07F7E">
      <w:pPr>
        <w:pStyle w:val="Title"/>
        <w:tabs>
          <w:tab w:val="center" w:pos="567"/>
        </w:tabs>
        <w:rPr>
          <w:bCs/>
          <w:iCs/>
        </w:rPr>
      </w:pPr>
    </w:p>
    <w:p w:rsidR="00A07F7E" w:rsidRPr="00FA5D10" w:rsidRDefault="00A07F7E" w:rsidP="00A07F7E">
      <w:pPr>
        <w:tabs>
          <w:tab w:val="left" w:pos="851"/>
        </w:tabs>
        <w:jc w:val="both"/>
      </w:pPr>
      <w:r w:rsidRPr="00FA5D10">
        <w:tab/>
      </w:r>
    </w:p>
    <w:p w:rsidR="00A07F7E" w:rsidRPr="00FA5D10" w:rsidRDefault="00A07F7E" w:rsidP="00A07F7E">
      <w:pPr>
        <w:pStyle w:val="BodyText"/>
        <w:ind w:firstLine="708"/>
      </w:pPr>
      <w:r w:rsidRPr="00FA5D10">
        <w:t xml:space="preserve">Методиката за оценка на оферти е инструмент за комплексна оценка и класиране на оферти, изчислена на база техническата и финансова оценка на офертите, </w:t>
      </w:r>
      <w:r w:rsidRPr="00FA5D10">
        <w:rPr>
          <w:b/>
        </w:rPr>
        <w:t>като критерият</w:t>
      </w:r>
      <w:r w:rsidRPr="00FA5D10">
        <w:t xml:space="preserve"> </w:t>
      </w:r>
      <w:r w:rsidRPr="00FA5D10">
        <w:rPr>
          <w:b/>
        </w:rPr>
        <w:t>е „Икономически най-изгодната оферта”</w:t>
      </w:r>
      <w:r w:rsidRPr="00FA5D10">
        <w:t>.</w:t>
      </w:r>
      <w:r w:rsidRPr="00FA5D10">
        <w:rPr>
          <w:b/>
        </w:rPr>
        <w:t xml:space="preserve">  </w:t>
      </w:r>
      <w:r w:rsidRPr="00FA5D10">
        <w:rPr>
          <w:iCs/>
        </w:rPr>
        <w:t xml:space="preserve">Класирането на офертите </w:t>
      </w:r>
      <w:r w:rsidRPr="00FA5D10">
        <w:t>се извършва по низходящ ред на получената комплексна оценка, като на първо място се класира офертата с най-висока оценка.</w:t>
      </w:r>
    </w:p>
    <w:p w:rsidR="00A07F7E" w:rsidRPr="00FA5D10" w:rsidRDefault="00A07F7E" w:rsidP="00A07F7E">
      <w:pPr>
        <w:pStyle w:val="BodyText"/>
      </w:pPr>
    </w:p>
    <w:p w:rsidR="00A07F7E" w:rsidRPr="00FA5D10" w:rsidRDefault="00A07F7E" w:rsidP="00A07F7E">
      <w:pPr>
        <w:pStyle w:val="BodyText"/>
        <w:rPr>
          <w:b/>
        </w:rPr>
      </w:pPr>
      <w:r w:rsidRPr="00FA5D10">
        <w:rPr>
          <w:b/>
        </w:rPr>
        <w:t>ЕТАПИ НА ИЗВЪРШВАНЕ НА ОЦЕНКАТА:</w:t>
      </w:r>
    </w:p>
    <w:p w:rsidR="00A07F7E" w:rsidRPr="00FA5D10" w:rsidRDefault="00A07F7E" w:rsidP="00A07F7E">
      <w:pPr>
        <w:pStyle w:val="BodyText"/>
        <w:rPr>
          <w:b/>
        </w:rPr>
      </w:pPr>
    </w:p>
    <w:p w:rsidR="00A07F7E" w:rsidRPr="00FA5D10" w:rsidRDefault="00846E12" w:rsidP="00A07F7E">
      <w:pPr>
        <w:numPr>
          <w:ilvl w:val="0"/>
          <w:numId w:val="10"/>
        </w:numPr>
        <w:spacing w:after="200" w:line="240" w:lineRule="auto"/>
        <w:ind w:left="0" w:firstLine="567"/>
        <w:contextualSpacing/>
        <w:jc w:val="both"/>
        <w:rPr>
          <w:rFonts w:ascii="All Times New Roman" w:hAnsi="All Times New Roman" w:cs="All Times New Roman"/>
          <w:b/>
          <w:szCs w:val="24"/>
        </w:rPr>
      </w:pPr>
      <w:r>
        <w:rPr>
          <w:rFonts w:ascii="All Times New Roman" w:hAnsi="All Times New Roman" w:cs="All Times New Roman"/>
          <w:b/>
          <w:szCs w:val="24"/>
        </w:rPr>
        <w:t xml:space="preserve"> </w:t>
      </w:r>
      <w:r w:rsidR="00A07F7E" w:rsidRPr="00FA5D10">
        <w:rPr>
          <w:rFonts w:ascii="All Times New Roman" w:hAnsi="All Times New Roman" w:cs="All Times New Roman"/>
          <w:b/>
          <w:szCs w:val="24"/>
        </w:rPr>
        <w:t>Предварителна проверка</w:t>
      </w:r>
    </w:p>
    <w:p w:rsidR="00A07F7E" w:rsidRPr="00FA5D10" w:rsidRDefault="00A07F7E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>Комисията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A07F7E" w:rsidRPr="00FA5D10" w:rsidRDefault="00A07F7E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</w:p>
    <w:p w:rsidR="00A07F7E" w:rsidRPr="00FA5D10" w:rsidRDefault="00A07F7E" w:rsidP="00A07F7E">
      <w:pPr>
        <w:numPr>
          <w:ilvl w:val="0"/>
          <w:numId w:val="10"/>
        </w:numPr>
        <w:spacing w:after="200" w:line="240" w:lineRule="auto"/>
        <w:ind w:left="0" w:firstLine="567"/>
        <w:contextualSpacing/>
        <w:jc w:val="both"/>
        <w:rPr>
          <w:rFonts w:ascii="All Times New Roman" w:hAnsi="All Times New Roman" w:cs="All Times New Roman"/>
          <w:b/>
          <w:szCs w:val="24"/>
        </w:rPr>
      </w:pPr>
      <w:r w:rsidRPr="00FA5D10">
        <w:rPr>
          <w:rFonts w:ascii="All Times New Roman" w:hAnsi="All Times New Roman" w:cs="All Times New Roman"/>
          <w:b/>
          <w:szCs w:val="24"/>
        </w:rPr>
        <w:t>Административна проверка</w:t>
      </w:r>
    </w:p>
    <w:p w:rsidR="00A07F7E" w:rsidRPr="00FA5D10" w:rsidRDefault="00A07F7E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>Преди началото на подробното оценяване на офертите комисията извършва предварителна проверка за комплекс</w:t>
      </w:r>
      <w:r w:rsidR="00A838C2">
        <w:rPr>
          <w:rFonts w:ascii="All Times New Roman" w:hAnsi="All Times New Roman" w:cs="All Times New Roman"/>
          <w:szCs w:val="24"/>
        </w:rPr>
        <w:t>н</w:t>
      </w:r>
      <w:r w:rsidRPr="00FA5D10">
        <w:rPr>
          <w:rFonts w:ascii="All Times New Roman" w:hAnsi="All Times New Roman" w:cs="All Times New Roman"/>
          <w:szCs w:val="24"/>
        </w:rPr>
        <w:t>остта на подадените оферти и съответствието им с изискванията, обявени в документацията за участие.</w:t>
      </w:r>
    </w:p>
    <w:p w:rsidR="00A07F7E" w:rsidRPr="00FA5D10" w:rsidRDefault="00A07F7E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>При предварителната оценка се проверява наличието на всички необходими документи за участие в процеду</w:t>
      </w:r>
      <w:r w:rsidR="009B0FFB">
        <w:rPr>
          <w:rFonts w:ascii="All Times New Roman" w:hAnsi="All Times New Roman" w:cs="All Times New Roman"/>
          <w:szCs w:val="24"/>
        </w:rPr>
        <w:t>рата</w:t>
      </w:r>
      <w:r w:rsidRPr="00FA5D10">
        <w:rPr>
          <w:rFonts w:ascii="All Times New Roman" w:hAnsi="All Times New Roman" w:cs="All Times New Roman"/>
          <w:szCs w:val="24"/>
        </w:rPr>
        <w:t>. Комисията писмено уведомява участниците за липсващи документи или за констатирани нередности, посочва точно вида на документа или документите, които следва да се представят допълнително и определя срок за представянето им. Срокът е еднакъв за всички участници и не може да бъде по-дълъг от 5 дни, считано от датата на получаване на писмено уведомяване. В случай че даден участник не предостави в срок изисканите документи, същият се отстранява от настоящата процедура за избор на доставчик.</w:t>
      </w:r>
    </w:p>
    <w:p w:rsidR="00A07F7E" w:rsidRPr="00FA5D10" w:rsidRDefault="009B0FFB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>
        <w:rPr>
          <w:rFonts w:ascii="All Times New Roman" w:hAnsi="All Times New Roman" w:cs="All Times New Roman"/>
          <w:szCs w:val="24"/>
        </w:rPr>
        <w:t>Участници</w:t>
      </w:r>
      <w:r w:rsidR="00A07F7E" w:rsidRPr="00FA5D10">
        <w:rPr>
          <w:rFonts w:ascii="All Times New Roman" w:hAnsi="All Times New Roman" w:cs="All Times New Roman"/>
          <w:szCs w:val="24"/>
        </w:rPr>
        <w:t xml:space="preserve">, чиито оферти са непълни и/или не покриват поставените минимални изисквания, ще бъдат отстранени и техните оферти няма да бъдат </w:t>
      </w:r>
      <w:r>
        <w:rPr>
          <w:rFonts w:ascii="All Times New Roman" w:hAnsi="All Times New Roman" w:cs="All Times New Roman"/>
          <w:szCs w:val="24"/>
        </w:rPr>
        <w:t xml:space="preserve">оценени и </w:t>
      </w:r>
      <w:r w:rsidR="00A07F7E" w:rsidRPr="00FA5D10">
        <w:rPr>
          <w:rFonts w:ascii="All Times New Roman" w:hAnsi="All Times New Roman" w:cs="All Times New Roman"/>
          <w:szCs w:val="24"/>
        </w:rPr>
        <w:t>класирани.</w:t>
      </w:r>
    </w:p>
    <w:p w:rsidR="00A07F7E" w:rsidRPr="00FA5D10" w:rsidRDefault="00A07F7E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>Комисията за оценка проверява финансовите оферти за аритметични грешки. Всички аритметични грешки се поправят, без това да е в ущърб на участника.</w:t>
      </w:r>
    </w:p>
    <w:p w:rsidR="00A07F7E" w:rsidRPr="00FA5D10" w:rsidRDefault="00A07F7E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>Цената се образува като сума от единичните цени на компонентите, умножени по количествата, описани в приложенията към настоящата документация.</w:t>
      </w:r>
    </w:p>
    <w:p w:rsidR="00A07F7E" w:rsidRPr="00FA5D10" w:rsidRDefault="00A07F7E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 xml:space="preserve">На оценка подлежи сумата от получената обща стойност на доставката и монтажа, предмет на настоящата процедура. </w:t>
      </w:r>
    </w:p>
    <w:p w:rsidR="00A07F7E" w:rsidRPr="00FA5D10" w:rsidRDefault="00A07F7E" w:rsidP="00A07F7E">
      <w:pPr>
        <w:spacing w:after="200"/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>В случай, че участникът не е предложил единични цени за всеки вид от посочените в Офертата номенклатурни позиции, същият ще бъде отстранен от участие на основание непълна оферта. Оферти, надвишаващи максим</w:t>
      </w:r>
      <w:r w:rsidR="009B0FFB">
        <w:rPr>
          <w:rFonts w:ascii="All Times New Roman" w:hAnsi="All Times New Roman" w:cs="All Times New Roman"/>
          <w:szCs w:val="24"/>
        </w:rPr>
        <w:t>алния индикативен бюджет</w:t>
      </w:r>
      <w:r w:rsidRPr="00FA5D10">
        <w:rPr>
          <w:rFonts w:ascii="All Times New Roman" w:hAnsi="All Times New Roman" w:cs="All Times New Roman"/>
          <w:szCs w:val="24"/>
        </w:rPr>
        <w:t xml:space="preserve"> се отхвърлят.</w:t>
      </w:r>
    </w:p>
    <w:p w:rsidR="00A07F7E" w:rsidRPr="00FA5D10" w:rsidRDefault="00A07F7E" w:rsidP="00A07F7E">
      <w:pPr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</w:p>
    <w:p w:rsidR="00A07F7E" w:rsidRPr="00FA5D10" w:rsidRDefault="00A07F7E" w:rsidP="00A07F7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All Times New Roman" w:hAnsi="All Times New Roman" w:cs="All Times New Roman"/>
          <w:b/>
          <w:szCs w:val="24"/>
        </w:rPr>
      </w:pPr>
      <w:r w:rsidRPr="00FA5D10">
        <w:rPr>
          <w:rFonts w:ascii="All Times New Roman" w:hAnsi="All Times New Roman" w:cs="All Times New Roman"/>
          <w:b/>
          <w:szCs w:val="24"/>
        </w:rPr>
        <w:t>Проверка за съответствие с минималните технически изисквания</w:t>
      </w:r>
    </w:p>
    <w:p w:rsidR="00A07F7E" w:rsidRPr="00FA5D10" w:rsidRDefault="00A07F7E" w:rsidP="00A07F7E">
      <w:pPr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>Преди същинското оценяване на офертите ще бъде извършена проверка за съответствие на подадените документи от кандидата с технически</w:t>
      </w:r>
      <w:r w:rsidR="00D176F7">
        <w:rPr>
          <w:rFonts w:ascii="All Times New Roman" w:hAnsi="All Times New Roman" w:cs="All Times New Roman"/>
          <w:szCs w:val="24"/>
        </w:rPr>
        <w:t>те изисквания Възложителя</w:t>
      </w:r>
      <w:r w:rsidRPr="00FA5D10">
        <w:rPr>
          <w:rFonts w:ascii="All Times New Roman" w:hAnsi="All Times New Roman" w:cs="All Times New Roman"/>
          <w:szCs w:val="24"/>
        </w:rPr>
        <w:t>.</w:t>
      </w:r>
    </w:p>
    <w:p w:rsidR="00A07F7E" w:rsidRDefault="00A07F7E" w:rsidP="00A07F7E">
      <w:pPr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 w:rsidRPr="00FA5D10">
        <w:rPr>
          <w:rFonts w:ascii="All Times New Roman" w:hAnsi="All Times New Roman" w:cs="All Times New Roman"/>
          <w:szCs w:val="24"/>
        </w:rPr>
        <w:t xml:space="preserve"> В случай че дадена оферта не покрива заложените технически изисквания, тя ще бъде отхвърлена като административно недопустима.</w:t>
      </w:r>
    </w:p>
    <w:p w:rsidR="003A5718" w:rsidRPr="00FA5D10" w:rsidRDefault="003A5718" w:rsidP="00A07F7E">
      <w:pPr>
        <w:ind w:firstLine="567"/>
        <w:contextualSpacing/>
        <w:jc w:val="both"/>
        <w:rPr>
          <w:rFonts w:ascii="All Times New Roman" w:hAnsi="All Times New Roman" w:cs="All Times New Roman"/>
          <w:szCs w:val="24"/>
        </w:rPr>
      </w:pPr>
      <w:r>
        <w:rPr>
          <w:rFonts w:ascii="All Times New Roman" w:hAnsi="All Times New Roman" w:cs="All Times New Roman"/>
          <w:b/>
          <w:szCs w:val="24"/>
        </w:rPr>
        <w:lastRenderedPageBreak/>
        <w:t>*</w:t>
      </w:r>
      <w:r w:rsidRPr="003A5718">
        <w:rPr>
          <w:rFonts w:ascii="All Times New Roman" w:hAnsi="All Times New Roman" w:cs="All Times New Roman"/>
          <w:b/>
          <w:szCs w:val="24"/>
        </w:rPr>
        <w:t>Забележка:</w:t>
      </w:r>
      <w:r w:rsidRPr="003A5718">
        <w:rPr>
          <w:rFonts w:ascii="All Times New Roman" w:hAnsi="All Times New Roman" w:cs="All Times New Roman"/>
          <w:szCs w:val="24"/>
        </w:rPr>
        <w:t xml:space="preserve"> Поставените от Възложителя минимални изисквания като критерии за подбор не се отнасят и не се прилагат за Участници, които имат статут на специализирани предприятия или кооперации на хора с увреждания, както и за Участници - Обединения, в които участват само такива лица</w:t>
      </w:r>
    </w:p>
    <w:p w:rsidR="00A07F7E" w:rsidRPr="00FA5D10" w:rsidRDefault="00A07F7E" w:rsidP="00A07F7E">
      <w:pPr>
        <w:ind w:firstLine="567"/>
        <w:rPr>
          <w:rFonts w:ascii="All Times New Roman" w:hAnsi="All Times New Roman" w:cs="All Times New Roman"/>
        </w:rPr>
      </w:pPr>
    </w:p>
    <w:p w:rsidR="00A07F7E" w:rsidRPr="00FA5D10" w:rsidRDefault="00A07F7E" w:rsidP="00A07F7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All Times New Roman" w:hAnsi="All Times New Roman" w:cs="All Times New Roman"/>
          <w:b/>
          <w:szCs w:val="24"/>
        </w:rPr>
      </w:pPr>
      <w:r w:rsidRPr="00FA5D10">
        <w:rPr>
          <w:rFonts w:ascii="All Times New Roman" w:hAnsi="All Times New Roman" w:cs="All Times New Roman"/>
          <w:b/>
          <w:szCs w:val="24"/>
        </w:rPr>
        <w:t>Оценка на офертите по критерий „икономически най-изгодна оферта”</w:t>
      </w:r>
    </w:p>
    <w:p w:rsidR="00A07F7E" w:rsidRPr="00FA5D10" w:rsidRDefault="00A07F7E" w:rsidP="00A07F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ll Times New Roman" w:hAnsi="All Times New Roman" w:cs="All Times New Roman"/>
          <w:b/>
          <w:bCs/>
          <w:szCs w:val="24"/>
        </w:rPr>
      </w:pPr>
      <w:r w:rsidRPr="00FA5D10">
        <w:rPr>
          <w:rFonts w:ascii="All Times New Roman" w:hAnsi="All Times New Roman" w:cs="All Times New Roman"/>
          <w:b/>
          <w:szCs w:val="24"/>
        </w:rPr>
        <w:t xml:space="preserve">Показатели и тежест в комплексната оценка на офертите </w:t>
      </w:r>
    </w:p>
    <w:p w:rsidR="00A07F7E" w:rsidRPr="00FA5D10" w:rsidRDefault="00A07F7E" w:rsidP="00A07F7E">
      <w:pPr>
        <w:pStyle w:val="BodyTextIndent"/>
      </w:pPr>
      <w:r w:rsidRPr="00FA5D10">
        <w:t xml:space="preserve">Икономически най-изгодната оферта се установява като се съпоставят </w:t>
      </w:r>
      <w:r w:rsidRPr="00FA5D10">
        <w:rPr>
          <w:bCs/>
        </w:rPr>
        <w:t>цена</w:t>
      </w:r>
      <w:r w:rsidRPr="00FA5D10">
        <w:t xml:space="preserve">, </w:t>
      </w:r>
      <w:r w:rsidRPr="00FA5D10">
        <w:rPr>
          <w:bCs/>
        </w:rPr>
        <w:t>срок за и</w:t>
      </w:r>
      <w:r w:rsidR="003A5718">
        <w:rPr>
          <w:bCs/>
        </w:rPr>
        <w:t xml:space="preserve">зпълнение и гаранционни условия </w:t>
      </w:r>
      <w:r w:rsidRPr="00FA5D10">
        <w:rPr>
          <w:bCs/>
        </w:rPr>
        <w:t xml:space="preserve">при съотношение </w:t>
      </w:r>
      <w:r w:rsidR="003A5718">
        <w:rPr>
          <w:bCs/>
          <w:lang w:val="ru-RU"/>
        </w:rPr>
        <w:t>60</w:t>
      </w:r>
      <w:r w:rsidR="00966C80">
        <w:rPr>
          <w:bCs/>
          <w:lang w:val="ru-RU"/>
        </w:rPr>
        <w:t>:3</w:t>
      </w:r>
      <w:r w:rsidR="003A5718">
        <w:rPr>
          <w:bCs/>
          <w:lang w:val="ru-RU"/>
        </w:rPr>
        <w:t>0</w:t>
      </w:r>
      <w:r w:rsidRPr="00FA5D10">
        <w:rPr>
          <w:bCs/>
          <w:lang w:val="ru-RU"/>
        </w:rPr>
        <w:t>:</w:t>
      </w:r>
      <w:r w:rsidR="00966C80">
        <w:rPr>
          <w:bCs/>
        </w:rPr>
        <w:t>10</w:t>
      </w:r>
      <w:r w:rsidRPr="00FA5D10">
        <w:rPr>
          <w:bCs/>
        </w:rPr>
        <w:t>. Оценителната комисия или членовете й нямат право при никакви обстоятелства да подменят скалата за оценяване. Офертите ще бъдат оценявани по даден критерий една след друга.</w:t>
      </w:r>
    </w:p>
    <w:p w:rsidR="00A07F7E" w:rsidRPr="00FA5D10" w:rsidRDefault="00A07F7E" w:rsidP="00A07F7E">
      <w:pPr>
        <w:pStyle w:val="BodyTextIndent"/>
      </w:pPr>
      <w:r w:rsidRPr="00FA5D10">
        <w:t>В следващата таблица са показани съответните показатели с относителните им тежести:</w:t>
      </w:r>
    </w:p>
    <w:p w:rsidR="00A07F7E" w:rsidRPr="00FA5D10" w:rsidRDefault="00A07F7E" w:rsidP="00A07F7E">
      <w:pPr>
        <w:pStyle w:val="BodyTextIndent"/>
      </w:pPr>
    </w:p>
    <w:tbl>
      <w:tblPr>
        <w:tblW w:w="6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345"/>
      </w:tblGrid>
      <w:tr w:rsidR="00A07F7E" w:rsidRPr="00FA5D10" w:rsidTr="00147FE6">
        <w:trPr>
          <w:cantSplit/>
          <w:trHeight w:val="75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7F7E" w:rsidRPr="00FA5D10" w:rsidRDefault="00A07F7E" w:rsidP="00147FE6">
            <w:pPr>
              <w:pStyle w:val="BodyTextIndent"/>
              <w:jc w:val="center"/>
              <w:rPr>
                <w:b/>
              </w:rPr>
            </w:pPr>
            <w:r w:rsidRPr="00FA5D10">
              <w:rPr>
                <w:b/>
              </w:rPr>
              <w:t>Показател - П</w:t>
            </w:r>
          </w:p>
          <w:p w:rsidR="00A07F7E" w:rsidRPr="00FA5D10" w:rsidRDefault="00A07F7E" w:rsidP="00147FE6">
            <w:pPr>
              <w:pStyle w:val="BodyTextIndent"/>
              <w:jc w:val="center"/>
              <w:rPr>
                <w:b/>
              </w:rPr>
            </w:pPr>
            <w:r w:rsidRPr="00FA5D10">
              <w:t>(наименование)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7E" w:rsidRPr="00FA5D10" w:rsidRDefault="00A07F7E" w:rsidP="00147FE6">
            <w:pPr>
              <w:pStyle w:val="BodyTextIndent"/>
              <w:jc w:val="center"/>
              <w:rPr>
                <w:b/>
              </w:rPr>
            </w:pPr>
            <w:r w:rsidRPr="00FA5D10">
              <w:rPr>
                <w:b/>
              </w:rPr>
              <w:t>Относителна тежест</w:t>
            </w:r>
          </w:p>
        </w:tc>
      </w:tr>
      <w:tr w:rsidR="00A07F7E" w:rsidRPr="00FA5D10" w:rsidTr="00147FE6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E" w:rsidRPr="00FA5D10" w:rsidRDefault="00A07F7E" w:rsidP="00147FE6">
            <w:pPr>
              <w:pStyle w:val="BodyTextIndent"/>
              <w:jc w:val="center"/>
              <w:rPr>
                <w:b/>
              </w:rPr>
            </w:pPr>
            <w:r w:rsidRPr="00FA5D10">
              <w:rPr>
                <w:b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E" w:rsidRPr="00FA5D10" w:rsidRDefault="00A07F7E" w:rsidP="00147FE6">
            <w:pPr>
              <w:pStyle w:val="BodyTextIndent"/>
              <w:jc w:val="center"/>
              <w:rPr>
                <w:b/>
              </w:rPr>
            </w:pPr>
            <w:r w:rsidRPr="00FA5D10">
              <w:rPr>
                <w:b/>
              </w:rPr>
              <w:t>2</w:t>
            </w:r>
          </w:p>
        </w:tc>
      </w:tr>
      <w:tr w:rsidR="00A07F7E" w:rsidRPr="00FA5D10" w:rsidTr="00147FE6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E" w:rsidRPr="00FA5D10" w:rsidRDefault="00A07F7E" w:rsidP="00A07F7E">
            <w:pPr>
              <w:pStyle w:val="BodyTextIndent"/>
              <w:numPr>
                <w:ilvl w:val="0"/>
                <w:numId w:val="11"/>
              </w:numPr>
            </w:pPr>
            <w:r w:rsidRPr="00FA5D10">
              <w:t xml:space="preserve">Предложена цена - (в български лев без ДДС) – </w:t>
            </w:r>
            <w:r w:rsidRPr="00FA5D10">
              <w:rPr>
                <w:b/>
              </w:rPr>
              <w:t>П</w:t>
            </w:r>
            <w:r w:rsidRPr="00FA5D10">
              <w:rPr>
                <w:b/>
                <w:vertAlign w:val="subscript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E" w:rsidRPr="00FA5D10" w:rsidRDefault="003A5718" w:rsidP="00147FE6">
            <w:pPr>
              <w:pStyle w:val="BodyTextIndent"/>
              <w:jc w:val="center"/>
            </w:pPr>
            <w:r>
              <w:t>60 % (0,60</w:t>
            </w:r>
            <w:r w:rsidR="00A07F7E" w:rsidRPr="00FA5D10">
              <w:t>)</w:t>
            </w:r>
          </w:p>
        </w:tc>
      </w:tr>
      <w:tr w:rsidR="00A07F7E" w:rsidRPr="00FA5D10" w:rsidTr="00147FE6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E" w:rsidRPr="00FA5D10" w:rsidRDefault="00A07F7E" w:rsidP="00A07F7E">
            <w:pPr>
              <w:pStyle w:val="BodyTextIndent"/>
              <w:numPr>
                <w:ilvl w:val="0"/>
                <w:numId w:val="11"/>
              </w:numPr>
            </w:pPr>
            <w:r w:rsidRPr="00FA5D10">
              <w:t xml:space="preserve">Срок на изпълнение (в календарни дни)– </w:t>
            </w:r>
            <w:r w:rsidRPr="00FA5D10">
              <w:rPr>
                <w:b/>
              </w:rPr>
              <w:t>П</w:t>
            </w:r>
            <w:r w:rsidRPr="00FA5D10">
              <w:rPr>
                <w:b/>
                <w:spacing w:val="3"/>
                <w:vertAlign w:val="subscript"/>
              </w:rPr>
              <w:t>2</w:t>
            </w:r>
            <w:r w:rsidRPr="00FA5D10">
              <w:rPr>
                <w:b/>
                <w:u w:val="single"/>
                <w:vertAlign w:val="subscript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E" w:rsidRPr="00FA5D10" w:rsidRDefault="003A5718" w:rsidP="00147FE6">
            <w:pPr>
              <w:pStyle w:val="BodyTextIndent"/>
              <w:jc w:val="center"/>
            </w:pPr>
            <w:r>
              <w:t>30 % (0,30</w:t>
            </w:r>
            <w:r w:rsidR="00A07F7E" w:rsidRPr="00FA5D10">
              <w:t>)</w:t>
            </w:r>
          </w:p>
        </w:tc>
      </w:tr>
      <w:tr w:rsidR="00A07F7E" w:rsidRPr="00FA5D10" w:rsidTr="00147FE6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E" w:rsidRPr="00FA5D10" w:rsidRDefault="002E45CF" w:rsidP="00A07F7E">
            <w:pPr>
              <w:pStyle w:val="BodyTextIndent"/>
              <w:numPr>
                <w:ilvl w:val="0"/>
                <w:numId w:val="11"/>
              </w:numPr>
              <w:ind w:left="398"/>
              <w:jc w:val="left"/>
            </w:pPr>
            <w:r>
              <w:rPr>
                <w:lang w:eastAsia="zh-CN"/>
              </w:rPr>
              <w:t>Гаранционен срок</w:t>
            </w:r>
            <w:r w:rsidR="00A07F7E" w:rsidRPr="00FA5D10">
              <w:rPr>
                <w:lang w:eastAsia="zh-CN"/>
              </w:rPr>
              <w:t xml:space="preserve"> </w:t>
            </w:r>
            <w:r w:rsidR="00A07F7E" w:rsidRPr="00FA5D10">
              <w:t xml:space="preserve">– </w:t>
            </w:r>
            <w:r w:rsidR="00A07F7E" w:rsidRPr="00FA5D10">
              <w:rPr>
                <w:b/>
              </w:rPr>
              <w:t>П</w:t>
            </w:r>
            <w:r w:rsidR="00A07F7E" w:rsidRPr="00FA5D10">
              <w:rPr>
                <w:b/>
                <w:spacing w:val="3"/>
                <w:vertAlign w:val="subscript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E" w:rsidRPr="00FA5D10" w:rsidRDefault="00966C80" w:rsidP="00147FE6">
            <w:pPr>
              <w:pStyle w:val="BodyTextIndent"/>
              <w:jc w:val="center"/>
            </w:pPr>
            <w:r>
              <w:t>10</w:t>
            </w:r>
            <w:r w:rsidR="00A07F7E" w:rsidRPr="00FA5D10">
              <w:t xml:space="preserve"> % (0,</w:t>
            </w:r>
            <w:r>
              <w:t>1</w:t>
            </w:r>
            <w:r w:rsidR="00A07F7E" w:rsidRPr="00FA5D10">
              <w:t>0)</w:t>
            </w:r>
          </w:p>
        </w:tc>
      </w:tr>
    </w:tbl>
    <w:p w:rsidR="00A07F7E" w:rsidRPr="00FA5D10" w:rsidRDefault="00A07F7E" w:rsidP="00A07F7E">
      <w:pPr>
        <w:contextualSpacing/>
        <w:jc w:val="both"/>
        <w:rPr>
          <w:rFonts w:ascii="All Times New Roman" w:hAnsi="All Times New Roman" w:cs="All Times New Roman"/>
          <w:b/>
          <w:szCs w:val="24"/>
        </w:rPr>
      </w:pPr>
    </w:p>
    <w:p w:rsidR="00A07F7E" w:rsidRPr="00FA5D10" w:rsidRDefault="00A07F7E" w:rsidP="00A07F7E">
      <w:pPr>
        <w:spacing w:after="200"/>
        <w:contextualSpacing/>
        <w:jc w:val="both"/>
        <w:rPr>
          <w:rFonts w:ascii="All Times New Roman" w:hAnsi="All Times New Roman" w:cs="All Times New Roman"/>
          <w:b/>
          <w:szCs w:val="24"/>
        </w:rPr>
      </w:pPr>
      <w:r w:rsidRPr="00FA5D10">
        <w:rPr>
          <w:rFonts w:ascii="All Times New Roman" w:hAnsi="All Times New Roman" w:cs="All Times New Roman"/>
          <w:b/>
          <w:szCs w:val="24"/>
        </w:rPr>
        <w:t>2. Указания за определяне на оценката по всеки показател и на комплексната оценка</w:t>
      </w:r>
    </w:p>
    <w:p w:rsidR="00A07F7E" w:rsidRPr="00FA5D10" w:rsidRDefault="00A07F7E" w:rsidP="00A07F7E">
      <w:pPr>
        <w:pStyle w:val="BodyTextIndent"/>
      </w:pPr>
      <w:r w:rsidRPr="00FA5D10">
        <w:rPr>
          <w:b/>
        </w:rPr>
        <w:t>Показател 1 (П</w:t>
      </w:r>
      <w:r w:rsidRPr="00FA5D10">
        <w:rPr>
          <w:b/>
          <w:vertAlign w:val="subscript"/>
        </w:rPr>
        <w:t>1</w:t>
      </w:r>
      <w:r w:rsidRPr="00FA5D10">
        <w:rPr>
          <w:b/>
        </w:rPr>
        <w:t>)</w:t>
      </w:r>
      <w:r w:rsidRPr="00FA5D10">
        <w:t xml:space="preserve"> – </w:t>
      </w:r>
      <w:r w:rsidRPr="00FA5D10">
        <w:rPr>
          <w:b/>
        </w:rPr>
        <w:t>“Предложена цена”</w:t>
      </w:r>
      <w:r w:rsidRPr="00FA5D10">
        <w:t xml:space="preserve"> (в български лев без ДДС) с относително тегло в комплексната оценка </w:t>
      </w:r>
      <w:r w:rsidR="003A5718">
        <w:t>60</w:t>
      </w:r>
      <w:r w:rsidRPr="00FA5D10">
        <w:t xml:space="preserve"> %  и максимален брой </w:t>
      </w:r>
      <w:r w:rsidR="003A5718">
        <w:t>60</w:t>
      </w:r>
      <w:r w:rsidRPr="00FA5D10">
        <w:t xml:space="preserve"> точки. </w:t>
      </w:r>
    </w:p>
    <w:p w:rsidR="00A07F7E" w:rsidRPr="00FA5D10" w:rsidRDefault="00A07F7E" w:rsidP="00A838C2">
      <w:pPr>
        <w:pStyle w:val="BodyTextIndent"/>
        <w:rPr>
          <w:spacing w:val="-2"/>
        </w:rPr>
      </w:pPr>
      <w:r w:rsidRPr="00FA5D10">
        <w:t xml:space="preserve">Максималният брой точки получава офертата с предложена най-ниска цена. </w:t>
      </w:r>
      <w:r w:rsidRPr="00FA5D10">
        <w:rPr>
          <w:spacing w:val="1"/>
        </w:rPr>
        <w:t xml:space="preserve">Точките на останалите участници се определят в съотношение към най-ниската </w:t>
      </w:r>
      <w:r w:rsidRPr="00FA5D10">
        <w:rPr>
          <w:spacing w:val="-2"/>
        </w:rPr>
        <w:t>предложена цена по следната формула:</w:t>
      </w:r>
    </w:p>
    <w:p w:rsidR="00A07F7E" w:rsidRPr="00FA5D10" w:rsidRDefault="00A07F7E" w:rsidP="00A07F7E">
      <w:pPr>
        <w:pStyle w:val="BodyTextIndent"/>
        <w:rPr>
          <w:spacing w:val="-2"/>
        </w:rPr>
      </w:pPr>
    </w:p>
    <w:p w:rsidR="00A07F7E" w:rsidRPr="00FA5D10" w:rsidRDefault="00A07F7E" w:rsidP="00A07F7E">
      <w:pPr>
        <w:pStyle w:val="BodyTextIndent"/>
        <w:rPr>
          <w:spacing w:val="-2"/>
        </w:rPr>
      </w:pPr>
      <w:r w:rsidRPr="00FA5D10">
        <w:rPr>
          <w:spacing w:val="-2"/>
        </w:rPr>
        <w:tab/>
        <w:t xml:space="preserve">       Ц</w:t>
      </w:r>
      <w:r w:rsidRPr="00FA5D10">
        <w:rPr>
          <w:spacing w:val="-2"/>
          <w:vertAlign w:val="subscript"/>
          <w:lang w:val="en-US"/>
        </w:rPr>
        <w:t>min</w:t>
      </w:r>
    </w:p>
    <w:p w:rsidR="00A07F7E" w:rsidRPr="00FA5D10" w:rsidRDefault="00A07F7E" w:rsidP="00A07F7E">
      <w:pPr>
        <w:pStyle w:val="BodyTextIndent"/>
        <w:rPr>
          <w:spacing w:val="-2"/>
        </w:rPr>
      </w:pPr>
      <w:r w:rsidRPr="00FA5D10">
        <w:rPr>
          <w:spacing w:val="-2"/>
        </w:rPr>
        <w:t>П</w:t>
      </w:r>
      <w:r w:rsidRPr="00FA5D10">
        <w:rPr>
          <w:spacing w:val="-2"/>
          <w:vertAlign w:val="subscript"/>
        </w:rPr>
        <w:t>1</w:t>
      </w:r>
      <w:r w:rsidR="003A5718">
        <w:rPr>
          <w:spacing w:val="-2"/>
        </w:rPr>
        <w:t xml:space="preserve"> = </w:t>
      </w:r>
      <w:r w:rsidR="003A5718">
        <w:rPr>
          <w:spacing w:val="-2"/>
        </w:rPr>
        <w:tab/>
        <w:t xml:space="preserve">      ____ </w:t>
      </w:r>
      <w:r w:rsidRPr="00FA5D10">
        <w:rPr>
          <w:spacing w:val="-2"/>
          <w:lang w:val="en-US"/>
        </w:rPr>
        <w:t>x</w:t>
      </w:r>
      <w:r w:rsidRPr="00FA5D10">
        <w:rPr>
          <w:spacing w:val="-2"/>
        </w:rPr>
        <w:t xml:space="preserve"> </w:t>
      </w:r>
      <w:r w:rsidR="003A5718">
        <w:rPr>
          <w:spacing w:val="-2"/>
        </w:rPr>
        <w:t>60</w:t>
      </w:r>
    </w:p>
    <w:p w:rsidR="00A07F7E" w:rsidRPr="00FA5D10" w:rsidRDefault="00A07F7E" w:rsidP="00A07F7E">
      <w:pPr>
        <w:pStyle w:val="BodyTextIndent"/>
        <w:rPr>
          <w:spacing w:val="-2"/>
        </w:rPr>
      </w:pPr>
      <w:r w:rsidRPr="00FA5D10">
        <w:rPr>
          <w:spacing w:val="-2"/>
        </w:rPr>
        <w:tab/>
        <w:t xml:space="preserve">         Ц</w:t>
      </w:r>
      <w:r w:rsidRPr="00FA5D10">
        <w:rPr>
          <w:spacing w:val="-2"/>
          <w:vertAlign w:val="subscript"/>
          <w:lang w:val="en-US"/>
        </w:rPr>
        <w:t>n</w:t>
      </w:r>
    </w:p>
    <w:p w:rsidR="00A07F7E" w:rsidRPr="00FA5D10" w:rsidRDefault="00A07F7E" w:rsidP="00A07F7E">
      <w:pPr>
        <w:pStyle w:val="BodyTextIndent"/>
      </w:pPr>
      <w:r w:rsidRPr="00FA5D10">
        <w:t>Където:</w:t>
      </w:r>
    </w:p>
    <w:p w:rsidR="00A07F7E" w:rsidRPr="00FA5D10" w:rsidRDefault="00A07F7E" w:rsidP="00A07F7E">
      <w:pPr>
        <w:numPr>
          <w:ilvl w:val="0"/>
          <w:numId w:val="5"/>
        </w:numPr>
        <w:spacing w:after="0" w:line="240" w:lineRule="auto"/>
        <w:jc w:val="both"/>
      </w:pPr>
      <w:r w:rsidRPr="00FA5D10">
        <w:rPr>
          <w:spacing w:val="-1"/>
        </w:rPr>
        <w:t>„Ц</w:t>
      </w:r>
      <w:r w:rsidRPr="00FA5D10">
        <w:rPr>
          <w:spacing w:val="-1"/>
          <w:vertAlign w:val="subscript"/>
        </w:rPr>
        <w:t>min</w:t>
      </w:r>
      <w:r w:rsidRPr="00FA5D10">
        <w:rPr>
          <w:spacing w:val="-1"/>
        </w:rPr>
        <w:t>” е стойност на офертата на участника предложил най-ниска обща стойност;</w:t>
      </w:r>
    </w:p>
    <w:p w:rsidR="00A07F7E" w:rsidRPr="00FA5D10" w:rsidRDefault="00A07F7E" w:rsidP="00A07F7E">
      <w:pPr>
        <w:numPr>
          <w:ilvl w:val="0"/>
          <w:numId w:val="6"/>
        </w:numPr>
        <w:spacing w:after="0" w:line="240" w:lineRule="auto"/>
        <w:jc w:val="both"/>
      </w:pPr>
      <w:r w:rsidRPr="00FA5D10">
        <w:rPr>
          <w:spacing w:val="-1"/>
        </w:rPr>
        <w:t>„Ц</w:t>
      </w:r>
      <w:r w:rsidRPr="00FA5D10">
        <w:rPr>
          <w:spacing w:val="-1"/>
          <w:vertAlign w:val="subscript"/>
        </w:rPr>
        <w:t>n</w:t>
      </w:r>
      <w:r w:rsidRPr="00FA5D10">
        <w:rPr>
          <w:spacing w:val="-1"/>
        </w:rPr>
        <w:t xml:space="preserve"> ”е стойност на офертата на n-я участник.</w:t>
      </w:r>
    </w:p>
    <w:p w:rsidR="00A07F7E" w:rsidRPr="00FA5D10" w:rsidRDefault="00A07F7E" w:rsidP="00A07F7E">
      <w:pPr>
        <w:pStyle w:val="BodyTextIndent"/>
      </w:pPr>
      <w:r w:rsidRPr="00FA5D10">
        <w:t xml:space="preserve">            </w:t>
      </w:r>
    </w:p>
    <w:p w:rsidR="00A07F7E" w:rsidRPr="00FA5D10" w:rsidRDefault="00A07F7E" w:rsidP="00A07F7E">
      <w:pPr>
        <w:pStyle w:val="BodyTextIndent"/>
        <w:rPr>
          <w:highlight w:val="yellow"/>
        </w:rPr>
      </w:pPr>
      <w:r w:rsidRPr="00FA5D10">
        <w:rPr>
          <w:b/>
        </w:rPr>
        <w:t>Показател 2 (П</w:t>
      </w:r>
      <w:r w:rsidRPr="00FA5D10">
        <w:rPr>
          <w:b/>
          <w:spacing w:val="3"/>
          <w:vertAlign w:val="subscript"/>
        </w:rPr>
        <w:t>2</w:t>
      </w:r>
      <w:r w:rsidRPr="00FA5D10">
        <w:rPr>
          <w:b/>
          <w:spacing w:val="3"/>
        </w:rPr>
        <w:t xml:space="preserve">) – </w:t>
      </w:r>
      <w:r w:rsidRPr="00FA5D10">
        <w:rPr>
          <w:b/>
        </w:rPr>
        <w:t>„Срок за изпълнение”</w:t>
      </w:r>
      <w:r w:rsidR="0005571C">
        <w:t xml:space="preserve"> (в работни</w:t>
      </w:r>
      <w:r w:rsidRPr="00FA5D10">
        <w:t xml:space="preserve"> дни) с относителн</w:t>
      </w:r>
      <w:r w:rsidR="003A5718">
        <w:t>о тегло в комплексната оценка 30</w:t>
      </w:r>
      <w:r w:rsidRPr="00FA5D10">
        <w:t xml:space="preserve"> </w:t>
      </w:r>
      <w:r w:rsidR="003A5718">
        <w:t>% и максимален брой 30</w:t>
      </w:r>
      <w:r w:rsidRPr="00FA5D10">
        <w:t xml:space="preserve"> точки.</w:t>
      </w:r>
    </w:p>
    <w:p w:rsidR="00A07F7E" w:rsidRPr="00FA5D10" w:rsidRDefault="00A07F7E" w:rsidP="00A07F7E">
      <w:pPr>
        <w:pStyle w:val="BodyTextIndent"/>
      </w:pPr>
      <w:r w:rsidRPr="00FA5D10">
        <w:t>Максималният брой точки получава офертата с предложен най-кратък срок за изпълнение (в календарни дни). Точките на останалите участници се определят в съотношение към най-краткия срок за доставка и монтаж по формулата:</w:t>
      </w:r>
    </w:p>
    <w:p w:rsidR="00A07F7E" w:rsidRPr="00FA5D10" w:rsidRDefault="00A07F7E" w:rsidP="00A07F7E">
      <w:pPr>
        <w:pStyle w:val="BodyTextIndent"/>
        <w:rPr>
          <w:spacing w:val="-2"/>
        </w:rPr>
      </w:pPr>
      <w:r w:rsidRPr="00FA5D10">
        <w:rPr>
          <w:spacing w:val="-2"/>
        </w:rPr>
        <w:tab/>
        <w:t xml:space="preserve">   СИ</w:t>
      </w:r>
      <w:r w:rsidRPr="00FA5D10">
        <w:rPr>
          <w:spacing w:val="-2"/>
          <w:vertAlign w:val="subscript"/>
          <w:lang w:val="en-US"/>
        </w:rPr>
        <w:t>min</w:t>
      </w:r>
    </w:p>
    <w:p w:rsidR="00A07F7E" w:rsidRPr="00FA5D10" w:rsidRDefault="00A07F7E" w:rsidP="00A07F7E">
      <w:pPr>
        <w:pStyle w:val="BodyTextIndent"/>
        <w:rPr>
          <w:spacing w:val="-2"/>
        </w:rPr>
      </w:pPr>
      <w:r w:rsidRPr="00FA5D10">
        <w:rPr>
          <w:spacing w:val="-2"/>
        </w:rPr>
        <w:t>П</w:t>
      </w:r>
      <w:r w:rsidRPr="00FA5D10">
        <w:rPr>
          <w:spacing w:val="-2"/>
          <w:vertAlign w:val="subscript"/>
        </w:rPr>
        <w:t>2</w:t>
      </w:r>
      <w:r w:rsidR="003A5718">
        <w:rPr>
          <w:spacing w:val="-2"/>
        </w:rPr>
        <w:t xml:space="preserve"> = </w:t>
      </w:r>
      <w:r w:rsidR="003A5718">
        <w:rPr>
          <w:spacing w:val="-2"/>
        </w:rPr>
        <w:tab/>
        <w:t xml:space="preserve">   _____</w:t>
      </w:r>
      <w:r w:rsidRPr="00FA5D10">
        <w:rPr>
          <w:spacing w:val="-2"/>
        </w:rPr>
        <w:t xml:space="preserve">  </w:t>
      </w:r>
      <w:r w:rsidRPr="00FA5D10">
        <w:rPr>
          <w:spacing w:val="-2"/>
          <w:lang w:val="en-US"/>
        </w:rPr>
        <w:t>x</w:t>
      </w:r>
      <w:r w:rsidR="003A5718">
        <w:rPr>
          <w:spacing w:val="-2"/>
        </w:rPr>
        <w:t xml:space="preserve"> 30</w:t>
      </w:r>
    </w:p>
    <w:p w:rsidR="00A07F7E" w:rsidRPr="00FA5D10" w:rsidRDefault="00A07F7E" w:rsidP="00A07F7E">
      <w:pPr>
        <w:pStyle w:val="BodyTextIndent"/>
        <w:rPr>
          <w:spacing w:val="-2"/>
        </w:rPr>
      </w:pPr>
      <w:r w:rsidRPr="00FA5D10">
        <w:rPr>
          <w:spacing w:val="-2"/>
        </w:rPr>
        <w:tab/>
        <w:t xml:space="preserve">    СИ</w:t>
      </w:r>
      <w:r w:rsidRPr="00FA5D10">
        <w:rPr>
          <w:spacing w:val="-2"/>
          <w:vertAlign w:val="subscript"/>
          <w:lang w:val="en-US"/>
        </w:rPr>
        <w:t>n</w:t>
      </w:r>
    </w:p>
    <w:p w:rsidR="00A07F7E" w:rsidRPr="00FA5D10" w:rsidRDefault="00A07F7E" w:rsidP="00A07F7E">
      <w:pPr>
        <w:pStyle w:val="BodyTextIndent"/>
      </w:pPr>
      <w:r w:rsidRPr="00FA5D10">
        <w:t>Където:</w:t>
      </w:r>
    </w:p>
    <w:p w:rsidR="00A07F7E" w:rsidRPr="00FA5D10" w:rsidRDefault="00A07F7E" w:rsidP="00A07F7E">
      <w:pPr>
        <w:numPr>
          <w:ilvl w:val="0"/>
          <w:numId w:val="5"/>
        </w:numPr>
        <w:spacing w:after="0" w:line="240" w:lineRule="auto"/>
        <w:jc w:val="both"/>
      </w:pPr>
      <w:r w:rsidRPr="00FA5D10">
        <w:rPr>
          <w:spacing w:val="-1"/>
        </w:rPr>
        <w:t>„СИ</w:t>
      </w:r>
      <w:r w:rsidRPr="00FA5D10">
        <w:rPr>
          <w:spacing w:val="-1"/>
          <w:vertAlign w:val="subscript"/>
        </w:rPr>
        <w:t>min</w:t>
      </w:r>
      <w:r w:rsidRPr="00FA5D10">
        <w:rPr>
          <w:spacing w:val="-1"/>
        </w:rPr>
        <w:t>” е най-краткият срок за изпълнение;</w:t>
      </w:r>
    </w:p>
    <w:p w:rsidR="00A07F7E" w:rsidRPr="00FA5D10" w:rsidRDefault="00A07F7E" w:rsidP="00A07F7E">
      <w:pPr>
        <w:numPr>
          <w:ilvl w:val="0"/>
          <w:numId w:val="5"/>
        </w:numPr>
        <w:spacing w:after="0" w:line="240" w:lineRule="auto"/>
        <w:jc w:val="both"/>
      </w:pPr>
      <w:r w:rsidRPr="00FA5D10">
        <w:rPr>
          <w:spacing w:val="-1"/>
        </w:rPr>
        <w:lastRenderedPageBreak/>
        <w:t>„СИ</w:t>
      </w:r>
      <w:r w:rsidRPr="00FA5D10">
        <w:rPr>
          <w:spacing w:val="-1"/>
          <w:vertAlign w:val="subscript"/>
        </w:rPr>
        <w:t>n</w:t>
      </w:r>
      <w:r w:rsidRPr="00FA5D10">
        <w:rPr>
          <w:spacing w:val="-1"/>
        </w:rPr>
        <w:t>” е срокът за изпълнение, предложен от n-я участник;</w:t>
      </w:r>
    </w:p>
    <w:p w:rsidR="00A07F7E" w:rsidRPr="00BA09AB" w:rsidRDefault="00A07F7E" w:rsidP="00A07F7E">
      <w:pPr>
        <w:pStyle w:val="BodyTextIndent"/>
      </w:pPr>
    </w:p>
    <w:p w:rsidR="00A07F7E" w:rsidRPr="00BA09AB" w:rsidRDefault="00A07F7E" w:rsidP="00A07F7E">
      <w:pPr>
        <w:pStyle w:val="BodyTextIndent"/>
        <w:rPr>
          <w:vertAlign w:val="subscript"/>
        </w:rPr>
      </w:pPr>
      <w:r w:rsidRPr="00BA09AB">
        <w:rPr>
          <w:b/>
        </w:rPr>
        <w:t>Показател 3 (П</w:t>
      </w:r>
      <w:r w:rsidRPr="00BA09AB">
        <w:rPr>
          <w:b/>
          <w:lang w:val="en-US"/>
        </w:rPr>
        <w:t>3</w:t>
      </w:r>
      <w:r w:rsidRPr="00BA09AB">
        <w:rPr>
          <w:b/>
          <w:spacing w:val="3"/>
        </w:rPr>
        <w:t>) –</w:t>
      </w:r>
      <w:r w:rsidR="002E45CF" w:rsidRPr="00BA09AB">
        <w:rPr>
          <w:b/>
        </w:rPr>
        <w:t xml:space="preserve"> „Гаранционен срок</w:t>
      </w:r>
      <w:r w:rsidRPr="00BA09AB">
        <w:rPr>
          <w:b/>
        </w:rPr>
        <w:t xml:space="preserve">” </w:t>
      </w:r>
      <w:r w:rsidR="0005571C">
        <w:rPr>
          <w:b/>
        </w:rPr>
        <w:t>(в месеци)</w:t>
      </w:r>
      <w:r w:rsidRPr="00BA09AB">
        <w:t xml:space="preserve"> с относително тегло в комплексната оценка </w:t>
      </w:r>
      <w:r w:rsidR="00A27918" w:rsidRPr="00BA09AB">
        <w:t>10</w:t>
      </w:r>
      <w:r w:rsidRPr="00BA09AB">
        <w:t xml:space="preserve">% и максимален брой </w:t>
      </w:r>
      <w:r w:rsidR="00A27918" w:rsidRPr="00BA09AB">
        <w:t>1</w:t>
      </w:r>
      <w:r w:rsidRPr="00BA09AB">
        <w:t xml:space="preserve">0 точки. Максимален брой точки получава офертата, която е с предложение за най –добри условия по отношение на гаранционното обслужване. Точките по показателя се изчисляват, като сума (С) от точки посочените в Таблица 1. </w:t>
      </w:r>
    </w:p>
    <w:p w:rsidR="00A07F7E" w:rsidRPr="00BA09AB" w:rsidRDefault="00A07F7E" w:rsidP="00A07F7E">
      <w:pPr>
        <w:rPr>
          <w:szCs w:val="24"/>
          <w:lang w:val="ru-RU"/>
        </w:rPr>
      </w:pPr>
    </w:p>
    <w:p w:rsidR="00A07F7E" w:rsidRPr="00BA09AB" w:rsidRDefault="00A07F7E" w:rsidP="00A07F7E">
      <w:pPr>
        <w:pStyle w:val="BodyTextIndent"/>
        <w:suppressAutoHyphens/>
      </w:pPr>
      <w:r w:rsidRPr="00BA09AB">
        <w:rPr>
          <w:b/>
          <w:i/>
        </w:rPr>
        <w:t>Таблица 1.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431"/>
        <w:gridCol w:w="1134"/>
      </w:tblGrid>
      <w:tr w:rsidR="00A07F7E" w:rsidRPr="00BA09AB" w:rsidTr="00147FE6">
        <w:tc>
          <w:tcPr>
            <w:tcW w:w="851" w:type="dxa"/>
          </w:tcPr>
          <w:p w:rsidR="00A07F7E" w:rsidRPr="00BA09AB" w:rsidRDefault="00A07F7E" w:rsidP="00147FE6">
            <w:pPr>
              <w:autoSpaceDE w:val="0"/>
              <w:autoSpaceDN w:val="0"/>
              <w:jc w:val="center"/>
              <w:textAlignment w:val="baseline"/>
              <w:rPr>
                <w:b/>
                <w:lang w:eastAsia="de-DE"/>
              </w:rPr>
            </w:pPr>
            <w:r w:rsidRPr="00BA09AB">
              <w:rPr>
                <w:b/>
                <w:lang w:eastAsia="de-DE"/>
              </w:rPr>
              <w:t>№</w:t>
            </w:r>
          </w:p>
        </w:tc>
        <w:tc>
          <w:tcPr>
            <w:tcW w:w="4252" w:type="dxa"/>
          </w:tcPr>
          <w:p w:rsidR="00A07F7E" w:rsidRPr="00BA09AB" w:rsidRDefault="00246236" w:rsidP="00147FE6">
            <w:pPr>
              <w:autoSpaceDE w:val="0"/>
              <w:autoSpaceDN w:val="0"/>
              <w:jc w:val="center"/>
              <w:textAlignment w:val="baseline"/>
              <w:rPr>
                <w:b/>
                <w:lang w:eastAsia="de-DE"/>
              </w:rPr>
            </w:pPr>
            <w:r w:rsidRPr="00BA09AB">
              <w:rPr>
                <w:b/>
                <w:lang w:eastAsia="de-DE"/>
              </w:rPr>
              <w:t>Гаранционен срок</w:t>
            </w:r>
          </w:p>
        </w:tc>
        <w:tc>
          <w:tcPr>
            <w:tcW w:w="3431" w:type="dxa"/>
          </w:tcPr>
          <w:p w:rsidR="00A07F7E" w:rsidRPr="00BA09AB" w:rsidRDefault="00A07F7E" w:rsidP="00147FE6">
            <w:pPr>
              <w:autoSpaceDE w:val="0"/>
              <w:autoSpaceDN w:val="0"/>
              <w:jc w:val="center"/>
              <w:textAlignment w:val="baseline"/>
              <w:rPr>
                <w:b/>
                <w:lang w:eastAsia="de-DE"/>
              </w:rPr>
            </w:pPr>
            <w:r w:rsidRPr="00BA09AB">
              <w:rPr>
                <w:b/>
                <w:lang w:eastAsia="de-DE"/>
              </w:rPr>
              <w:t>Параметри</w:t>
            </w:r>
          </w:p>
        </w:tc>
        <w:tc>
          <w:tcPr>
            <w:tcW w:w="1134" w:type="dxa"/>
          </w:tcPr>
          <w:p w:rsidR="00A07F7E" w:rsidRPr="00BA09AB" w:rsidRDefault="00A07F7E" w:rsidP="00147FE6">
            <w:pPr>
              <w:autoSpaceDE w:val="0"/>
              <w:autoSpaceDN w:val="0"/>
              <w:jc w:val="center"/>
              <w:textAlignment w:val="baseline"/>
              <w:rPr>
                <w:b/>
                <w:lang w:eastAsia="de-DE"/>
              </w:rPr>
            </w:pPr>
            <w:r w:rsidRPr="00BA09AB">
              <w:rPr>
                <w:b/>
                <w:lang w:eastAsia="de-DE"/>
              </w:rPr>
              <w:t>Точки</w:t>
            </w:r>
          </w:p>
        </w:tc>
      </w:tr>
      <w:tr w:rsidR="00875634" w:rsidRPr="00BA09AB" w:rsidTr="00063B91">
        <w:trPr>
          <w:trHeight w:val="585"/>
        </w:trPr>
        <w:tc>
          <w:tcPr>
            <w:tcW w:w="851" w:type="dxa"/>
            <w:vMerge w:val="restart"/>
          </w:tcPr>
          <w:p w:rsidR="00875634" w:rsidRPr="00BA09AB" w:rsidRDefault="00875634" w:rsidP="00147FE6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  <w:r w:rsidRPr="00BA09AB">
              <w:rPr>
                <w:lang w:eastAsia="de-DE"/>
              </w:rPr>
              <w:t>1.</w:t>
            </w:r>
          </w:p>
        </w:tc>
        <w:tc>
          <w:tcPr>
            <w:tcW w:w="4252" w:type="dxa"/>
            <w:vMerge w:val="restart"/>
          </w:tcPr>
          <w:p w:rsidR="00875634" w:rsidRPr="00BA09AB" w:rsidRDefault="00875634" w:rsidP="00147FE6">
            <w:pPr>
              <w:autoSpaceDE w:val="0"/>
              <w:autoSpaceDN w:val="0"/>
              <w:jc w:val="both"/>
              <w:textAlignment w:val="baseline"/>
              <w:rPr>
                <w:lang w:eastAsia="de-DE"/>
              </w:rPr>
            </w:pPr>
            <w:r w:rsidRPr="00BA09AB">
              <w:rPr>
                <w:lang w:eastAsia="de-DE"/>
              </w:rPr>
              <w:t xml:space="preserve">Гаранционен срок за *оборудване и </w:t>
            </w:r>
            <w:r>
              <w:rPr>
                <w:lang w:eastAsia="de-DE"/>
              </w:rPr>
              <w:t>**</w:t>
            </w:r>
            <w:r w:rsidRPr="00BA09AB">
              <w:rPr>
                <w:lang w:eastAsia="de-DE"/>
              </w:rPr>
              <w:t>обзавеждане</w:t>
            </w:r>
          </w:p>
        </w:tc>
        <w:tc>
          <w:tcPr>
            <w:tcW w:w="3431" w:type="dxa"/>
            <w:vAlign w:val="center"/>
          </w:tcPr>
          <w:p w:rsidR="00875634" w:rsidRPr="00BA09AB" w:rsidRDefault="00875634" w:rsidP="0017757A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  <w:r w:rsidRPr="00BA09AB">
              <w:rPr>
                <w:lang w:eastAsia="de-DE"/>
              </w:rPr>
              <w:t>30 месеца – включително и повече за оборудване</w:t>
            </w:r>
          </w:p>
        </w:tc>
        <w:tc>
          <w:tcPr>
            <w:tcW w:w="1134" w:type="dxa"/>
            <w:vAlign w:val="center"/>
          </w:tcPr>
          <w:p w:rsidR="00875634" w:rsidRPr="00875634" w:rsidRDefault="00875634" w:rsidP="00147FE6">
            <w:pPr>
              <w:autoSpaceDE w:val="0"/>
              <w:autoSpaceDN w:val="0"/>
              <w:jc w:val="center"/>
              <w:textAlignment w:val="baseline"/>
              <w:rPr>
                <w:lang w:val="en-US" w:eastAsia="de-DE"/>
              </w:rPr>
            </w:pPr>
            <w:r>
              <w:rPr>
                <w:lang w:val="en-US" w:eastAsia="de-DE"/>
              </w:rPr>
              <w:t>50</w:t>
            </w:r>
          </w:p>
        </w:tc>
      </w:tr>
      <w:tr w:rsidR="00875634" w:rsidRPr="00BA09AB" w:rsidTr="00147FE6">
        <w:trPr>
          <w:trHeight w:val="150"/>
        </w:trPr>
        <w:tc>
          <w:tcPr>
            <w:tcW w:w="851" w:type="dxa"/>
            <w:vMerge/>
          </w:tcPr>
          <w:p w:rsidR="00875634" w:rsidRPr="00BA09AB" w:rsidRDefault="00875634" w:rsidP="00063B91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</w:p>
        </w:tc>
        <w:tc>
          <w:tcPr>
            <w:tcW w:w="4252" w:type="dxa"/>
            <w:vMerge/>
          </w:tcPr>
          <w:p w:rsidR="00875634" w:rsidRPr="00BA09AB" w:rsidRDefault="00875634" w:rsidP="00063B91">
            <w:pPr>
              <w:autoSpaceDE w:val="0"/>
              <w:autoSpaceDN w:val="0"/>
              <w:jc w:val="both"/>
              <w:textAlignment w:val="baseline"/>
              <w:rPr>
                <w:lang w:eastAsia="de-DE"/>
              </w:rPr>
            </w:pPr>
          </w:p>
        </w:tc>
        <w:tc>
          <w:tcPr>
            <w:tcW w:w="3431" w:type="dxa"/>
            <w:vAlign w:val="center"/>
          </w:tcPr>
          <w:p w:rsidR="00875634" w:rsidRPr="00BA09AB" w:rsidRDefault="00875634" w:rsidP="0017757A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  <w:r w:rsidRPr="00BA09AB">
              <w:rPr>
                <w:lang w:eastAsia="de-DE"/>
              </w:rPr>
              <w:t>24 месеца – включително и повече за обзавеждане</w:t>
            </w:r>
          </w:p>
        </w:tc>
        <w:tc>
          <w:tcPr>
            <w:tcW w:w="1134" w:type="dxa"/>
            <w:vAlign w:val="center"/>
          </w:tcPr>
          <w:p w:rsidR="00875634" w:rsidRPr="00BA09AB" w:rsidRDefault="00875634" w:rsidP="00063B91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  <w:r>
              <w:rPr>
                <w:lang w:val="en-US" w:eastAsia="de-DE"/>
              </w:rPr>
              <w:t>5</w:t>
            </w:r>
            <w:r>
              <w:rPr>
                <w:lang w:eastAsia="de-DE"/>
              </w:rPr>
              <w:t>0</w:t>
            </w:r>
          </w:p>
        </w:tc>
      </w:tr>
      <w:tr w:rsidR="00875634" w:rsidRPr="00BA09AB" w:rsidTr="00063B91">
        <w:trPr>
          <w:trHeight w:val="285"/>
        </w:trPr>
        <w:tc>
          <w:tcPr>
            <w:tcW w:w="851" w:type="dxa"/>
            <w:vMerge/>
          </w:tcPr>
          <w:p w:rsidR="00875634" w:rsidRPr="00BA09AB" w:rsidRDefault="00875634" w:rsidP="00063B91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</w:p>
        </w:tc>
        <w:tc>
          <w:tcPr>
            <w:tcW w:w="4252" w:type="dxa"/>
            <w:vMerge/>
          </w:tcPr>
          <w:p w:rsidR="00875634" w:rsidRPr="00BA09AB" w:rsidRDefault="00875634" w:rsidP="00063B91">
            <w:pPr>
              <w:autoSpaceDE w:val="0"/>
              <w:autoSpaceDN w:val="0"/>
              <w:jc w:val="both"/>
              <w:textAlignment w:val="baseline"/>
              <w:rPr>
                <w:lang w:eastAsia="de-DE"/>
              </w:rPr>
            </w:pPr>
          </w:p>
        </w:tc>
        <w:tc>
          <w:tcPr>
            <w:tcW w:w="3431" w:type="dxa"/>
            <w:vAlign w:val="center"/>
          </w:tcPr>
          <w:p w:rsidR="00875634" w:rsidRPr="00BA09AB" w:rsidRDefault="00875634" w:rsidP="0017757A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  <w:r w:rsidRPr="00BA09AB">
              <w:rPr>
                <w:lang w:eastAsia="de-DE"/>
              </w:rPr>
              <w:t>От 18 до 30 месеца за оборудване</w:t>
            </w:r>
          </w:p>
        </w:tc>
        <w:tc>
          <w:tcPr>
            <w:tcW w:w="1134" w:type="dxa"/>
            <w:vAlign w:val="center"/>
          </w:tcPr>
          <w:p w:rsidR="00875634" w:rsidRPr="00BA09AB" w:rsidRDefault="00875634" w:rsidP="00063B91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  <w:r>
              <w:rPr>
                <w:lang w:val="en-US" w:eastAsia="de-DE"/>
              </w:rPr>
              <w:t>3</w:t>
            </w:r>
            <w:r>
              <w:rPr>
                <w:lang w:eastAsia="de-DE"/>
              </w:rPr>
              <w:t>0</w:t>
            </w:r>
          </w:p>
        </w:tc>
      </w:tr>
      <w:tr w:rsidR="00875634" w:rsidRPr="00BA09AB" w:rsidTr="00147FE6">
        <w:trPr>
          <w:trHeight w:val="165"/>
        </w:trPr>
        <w:tc>
          <w:tcPr>
            <w:tcW w:w="851" w:type="dxa"/>
            <w:vMerge/>
          </w:tcPr>
          <w:p w:rsidR="00875634" w:rsidRPr="00BA09AB" w:rsidRDefault="00875634" w:rsidP="00063B91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</w:p>
        </w:tc>
        <w:tc>
          <w:tcPr>
            <w:tcW w:w="4252" w:type="dxa"/>
            <w:vMerge/>
          </w:tcPr>
          <w:p w:rsidR="00875634" w:rsidRPr="00BA09AB" w:rsidRDefault="00875634" w:rsidP="00063B91">
            <w:pPr>
              <w:autoSpaceDE w:val="0"/>
              <w:autoSpaceDN w:val="0"/>
              <w:jc w:val="both"/>
              <w:textAlignment w:val="baseline"/>
              <w:rPr>
                <w:lang w:eastAsia="de-DE"/>
              </w:rPr>
            </w:pPr>
          </w:p>
        </w:tc>
        <w:tc>
          <w:tcPr>
            <w:tcW w:w="3431" w:type="dxa"/>
            <w:vAlign w:val="center"/>
          </w:tcPr>
          <w:p w:rsidR="00875634" w:rsidRPr="00BA09AB" w:rsidRDefault="00875634" w:rsidP="0017757A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  <w:r w:rsidRPr="00BA09AB">
              <w:rPr>
                <w:lang w:eastAsia="de-DE"/>
              </w:rPr>
              <w:t>От 12 месеца до 24 месеца за обзавеждане</w:t>
            </w:r>
          </w:p>
        </w:tc>
        <w:tc>
          <w:tcPr>
            <w:tcW w:w="1134" w:type="dxa"/>
            <w:vAlign w:val="center"/>
          </w:tcPr>
          <w:p w:rsidR="00875634" w:rsidRPr="00BA09AB" w:rsidRDefault="00875634" w:rsidP="00063B91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  <w:r>
              <w:rPr>
                <w:lang w:val="en-US" w:eastAsia="de-DE"/>
              </w:rPr>
              <w:t>3</w:t>
            </w:r>
            <w:r>
              <w:rPr>
                <w:lang w:eastAsia="de-DE"/>
              </w:rPr>
              <w:t>0</w:t>
            </w:r>
          </w:p>
        </w:tc>
      </w:tr>
      <w:tr w:rsidR="00875634" w:rsidRPr="00BA09AB" w:rsidTr="00063B91">
        <w:trPr>
          <w:trHeight w:val="315"/>
        </w:trPr>
        <w:tc>
          <w:tcPr>
            <w:tcW w:w="851" w:type="dxa"/>
            <w:vMerge/>
          </w:tcPr>
          <w:p w:rsidR="00875634" w:rsidRPr="00BA09AB" w:rsidRDefault="00875634" w:rsidP="00063B91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</w:p>
        </w:tc>
        <w:tc>
          <w:tcPr>
            <w:tcW w:w="4252" w:type="dxa"/>
            <w:vMerge/>
          </w:tcPr>
          <w:p w:rsidR="00875634" w:rsidRPr="00BA09AB" w:rsidRDefault="00875634" w:rsidP="00063B91">
            <w:pPr>
              <w:autoSpaceDN w:val="0"/>
              <w:textAlignment w:val="baseline"/>
              <w:rPr>
                <w:lang w:eastAsia="de-DE"/>
              </w:rPr>
            </w:pPr>
          </w:p>
        </w:tc>
        <w:tc>
          <w:tcPr>
            <w:tcW w:w="3431" w:type="dxa"/>
            <w:vAlign w:val="center"/>
          </w:tcPr>
          <w:p w:rsidR="00875634" w:rsidRPr="00BA09AB" w:rsidRDefault="00875634" w:rsidP="0017757A">
            <w:pPr>
              <w:jc w:val="center"/>
              <w:rPr>
                <w:lang w:eastAsia="de-DE"/>
              </w:rPr>
            </w:pPr>
            <w:r w:rsidRPr="00BA09AB">
              <w:rPr>
                <w:lang w:eastAsia="de-DE"/>
              </w:rPr>
              <w:t>От 12 до 18 месеца – включително за оборудване</w:t>
            </w:r>
          </w:p>
        </w:tc>
        <w:tc>
          <w:tcPr>
            <w:tcW w:w="1134" w:type="dxa"/>
          </w:tcPr>
          <w:p w:rsidR="00875634" w:rsidRPr="00BA09AB" w:rsidRDefault="00875634" w:rsidP="00063B91">
            <w:pPr>
              <w:jc w:val="center"/>
            </w:pPr>
            <w:r>
              <w:t>10</w:t>
            </w:r>
          </w:p>
        </w:tc>
      </w:tr>
      <w:tr w:rsidR="00875634" w:rsidRPr="00BA09AB" w:rsidTr="00147FE6">
        <w:trPr>
          <w:trHeight w:val="120"/>
        </w:trPr>
        <w:tc>
          <w:tcPr>
            <w:tcW w:w="851" w:type="dxa"/>
            <w:vMerge/>
          </w:tcPr>
          <w:p w:rsidR="00875634" w:rsidRPr="00BA09AB" w:rsidRDefault="00875634" w:rsidP="00063B91">
            <w:pPr>
              <w:autoSpaceDE w:val="0"/>
              <w:autoSpaceDN w:val="0"/>
              <w:jc w:val="center"/>
              <w:textAlignment w:val="baseline"/>
              <w:rPr>
                <w:lang w:eastAsia="de-DE"/>
              </w:rPr>
            </w:pPr>
          </w:p>
        </w:tc>
        <w:tc>
          <w:tcPr>
            <w:tcW w:w="4252" w:type="dxa"/>
            <w:vMerge/>
          </w:tcPr>
          <w:p w:rsidR="00875634" w:rsidRPr="00BA09AB" w:rsidRDefault="00875634" w:rsidP="00063B91">
            <w:pPr>
              <w:autoSpaceDN w:val="0"/>
              <w:textAlignment w:val="baseline"/>
              <w:rPr>
                <w:lang w:eastAsia="de-DE"/>
              </w:rPr>
            </w:pPr>
          </w:p>
        </w:tc>
        <w:tc>
          <w:tcPr>
            <w:tcW w:w="3431" w:type="dxa"/>
            <w:vAlign w:val="center"/>
          </w:tcPr>
          <w:p w:rsidR="00875634" w:rsidRPr="00BA09AB" w:rsidRDefault="00875634" w:rsidP="0017757A">
            <w:pPr>
              <w:jc w:val="center"/>
              <w:rPr>
                <w:lang w:eastAsia="de-DE"/>
              </w:rPr>
            </w:pPr>
            <w:r w:rsidRPr="00BA09AB">
              <w:rPr>
                <w:lang w:eastAsia="de-DE"/>
              </w:rPr>
              <w:t>От 6 до 12 месеца – включително за обзавеждане</w:t>
            </w:r>
          </w:p>
        </w:tc>
        <w:tc>
          <w:tcPr>
            <w:tcW w:w="1134" w:type="dxa"/>
          </w:tcPr>
          <w:p w:rsidR="00875634" w:rsidRPr="00BA09AB" w:rsidRDefault="00875634" w:rsidP="00063B91">
            <w:pPr>
              <w:jc w:val="center"/>
            </w:pPr>
            <w:r>
              <w:t>10</w:t>
            </w:r>
          </w:p>
        </w:tc>
      </w:tr>
      <w:tr w:rsidR="009C36CA" w:rsidRPr="00BA09AB" w:rsidTr="00147FE6">
        <w:tc>
          <w:tcPr>
            <w:tcW w:w="9668" w:type="dxa"/>
            <w:gridSpan w:val="4"/>
          </w:tcPr>
          <w:p w:rsidR="009C36CA" w:rsidRPr="00BA09AB" w:rsidRDefault="009C36CA" w:rsidP="009C36CA">
            <w:pPr>
              <w:autoSpaceDE w:val="0"/>
              <w:autoSpaceDN w:val="0"/>
              <w:jc w:val="both"/>
              <w:textAlignment w:val="baseline"/>
              <w:rPr>
                <w:b/>
                <w:lang w:eastAsia="de-DE"/>
              </w:rPr>
            </w:pPr>
            <w:r w:rsidRPr="00BA09AB">
              <w:rPr>
                <w:b/>
                <w:lang w:eastAsia="de-DE"/>
              </w:rPr>
              <w:t>Максималния брой точки по показателя</w:t>
            </w:r>
            <w:r w:rsidRPr="00BA09AB">
              <w:rPr>
                <w:b/>
                <w:lang w:val="ru-RU" w:eastAsia="de-DE"/>
              </w:rPr>
              <w:t xml:space="preserve"> </w:t>
            </w:r>
            <w:r w:rsidRPr="00BA09AB">
              <w:rPr>
                <w:b/>
                <w:lang w:eastAsia="de-DE"/>
              </w:rPr>
              <w:t>ГУ е 100 точки</w:t>
            </w:r>
          </w:p>
        </w:tc>
      </w:tr>
    </w:tbl>
    <w:p w:rsidR="00BA09AB" w:rsidRDefault="00BA09AB" w:rsidP="00A07F7E">
      <w:pPr>
        <w:autoSpaceDE w:val="0"/>
        <w:autoSpaceDN w:val="0"/>
        <w:textAlignment w:val="baseline"/>
        <w:rPr>
          <w:lang w:eastAsia="de-DE"/>
        </w:rPr>
      </w:pPr>
    </w:p>
    <w:p w:rsidR="00A07F7E" w:rsidRPr="00BA09AB" w:rsidRDefault="00A07F7E" w:rsidP="00A07F7E">
      <w:pPr>
        <w:autoSpaceDE w:val="0"/>
        <w:autoSpaceDN w:val="0"/>
        <w:textAlignment w:val="baseline"/>
        <w:rPr>
          <w:lang w:eastAsia="de-DE"/>
        </w:rPr>
      </w:pPr>
      <w:r w:rsidRPr="00BA09AB">
        <w:rPr>
          <w:lang w:eastAsia="de-DE"/>
        </w:rPr>
        <w:t xml:space="preserve">Точки на </w:t>
      </w:r>
      <w:r w:rsidRPr="00BA09AB">
        <w:rPr>
          <w:lang w:val="en-US" w:eastAsia="de-DE"/>
        </w:rPr>
        <w:t>n</w:t>
      </w:r>
      <w:r w:rsidRPr="00BA09AB">
        <w:rPr>
          <w:lang w:val="ru-RU" w:eastAsia="de-DE"/>
        </w:rPr>
        <w:t>-т</w:t>
      </w:r>
      <w:r w:rsidRPr="00BA09AB">
        <w:rPr>
          <w:lang w:eastAsia="de-DE"/>
        </w:rPr>
        <w:t>ия участник се получават по следната формула.</w:t>
      </w:r>
    </w:p>
    <w:p w:rsidR="00A07F7E" w:rsidRPr="00BA09AB" w:rsidRDefault="00A07F7E" w:rsidP="00A07F7E">
      <w:pPr>
        <w:pStyle w:val="BodyTextIndent"/>
      </w:pPr>
      <w:r w:rsidRPr="00BA09AB">
        <w:rPr>
          <w:spacing w:val="-2"/>
        </w:rPr>
        <w:t xml:space="preserve">            </w:t>
      </w:r>
      <w:r w:rsidRPr="00BA09AB">
        <w:rPr>
          <w:b/>
        </w:rPr>
        <w:t>П</w:t>
      </w:r>
      <w:r w:rsidRPr="00BA09AB">
        <w:rPr>
          <w:b/>
          <w:spacing w:val="3"/>
          <w:vertAlign w:val="subscript"/>
          <w:lang w:val="en-US"/>
        </w:rPr>
        <w:t>3</w:t>
      </w:r>
      <w:r w:rsidRPr="00BA09AB">
        <w:rPr>
          <w:b/>
          <w:spacing w:val="3"/>
          <w:vertAlign w:val="subscript"/>
        </w:rPr>
        <w:t xml:space="preserve">= </w:t>
      </w:r>
      <w:r w:rsidRPr="00BA09AB">
        <w:t xml:space="preserve"> С</w:t>
      </w:r>
      <w:r w:rsidRPr="00BA09AB">
        <w:rPr>
          <w:lang w:eastAsia="de-DE"/>
        </w:rPr>
        <w:t xml:space="preserve">ГУ </w:t>
      </w:r>
      <w:r w:rsidRPr="00BA09AB">
        <w:t>х 0,</w:t>
      </w:r>
      <w:r w:rsidR="00064FFE" w:rsidRPr="00BA09AB">
        <w:t>1</w:t>
      </w:r>
      <w:r w:rsidRPr="00BA09AB">
        <w:t>0</w:t>
      </w:r>
    </w:p>
    <w:p w:rsidR="00A07F7E" w:rsidRPr="00BA09AB" w:rsidRDefault="00A07F7E" w:rsidP="00A07F7E">
      <w:pPr>
        <w:pStyle w:val="BodyTextIndent"/>
        <w:rPr>
          <w:spacing w:val="-2"/>
        </w:rPr>
      </w:pPr>
      <w:r w:rsidRPr="00BA09AB">
        <w:t>Където:</w:t>
      </w:r>
    </w:p>
    <w:p w:rsidR="00A07F7E" w:rsidRPr="00BA09AB" w:rsidRDefault="00A07F7E" w:rsidP="00A07F7E">
      <w:pPr>
        <w:pStyle w:val="BodyTextIndent"/>
        <w:numPr>
          <w:ilvl w:val="0"/>
          <w:numId w:val="5"/>
        </w:numPr>
        <w:suppressAutoHyphens/>
      </w:pPr>
      <w:r w:rsidRPr="00BA09AB">
        <w:t>СГУ</w:t>
      </w:r>
      <w:r w:rsidRPr="00BA09AB">
        <w:rPr>
          <w:spacing w:val="-2"/>
          <w:lang w:val="en-US"/>
        </w:rPr>
        <w:t>n</w:t>
      </w:r>
      <w:r w:rsidRPr="00BA09AB">
        <w:rPr>
          <w:spacing w:val="-2"/>
        </w:rPr>
        <w:t xml:space="preserve"> е сума от точките п</w:t>
      </w:r>
      <w:r w:rsidR="002E45CF" w:rsidRPr="00BA09AB">
        <w:rPr>
          <w:spacing w:val="-2"/>
        </w:rPr>
        <w:t>о показател „Гаранционен срок</w:t>
      </w:r>
      <w:r w:rsidRPr="00BA09AB">
        <w:rPr>
          <w:spacing w:val="-2"/>
        </w:rPr>
        <w:t>”</w:t>
      </w:r>
    </w:p>
    <w:p w:rsidR="00A07F7E" w:rsidRPr="00BA09AB" w:rsidRDefault="00A07F7E" w:rsidP="00A07F7E">
      <w:pPr>
        <w:pStyle w:val="BodyTextIndent"/>
        <w:numPr>
          <w:ilvl w:val="0"/>
          <w:numId w:val="5"/>
        </w:numPr>
        <w:suppressAutoHyphens/>
      </w:pPr>
      <w:r w:rsidRPr="00BA09AB">
        <w:t>“0,</w:t>
      </w:r>
      <w:r w:rsidR="00064FFE" w:rsidRPr="00BA09AB">
        <w:t>1</w:t>
      </w:r>
      <w:r w:rsidRPr="00BA09AB">
        <w:t xml:space="preserve">0” е относителното тегло на  показателя </w:t>
      </w:r>
      <w:r w:rsidRPr="00BA09AB">
        <w:rPr>
          <w:b/>
        </w:rPr>
        <w:t>П</w:t>
      </w:r>
      <w:r w:rsidRPr="00BA09AB">
        <w:rPr>
          <w:b/>
          <w:spacing w:val="3"/>
          <w:vertAlign w:val="subscript"/>
        </w:rPr>
        <w:t>3</w:t>
      </w:r>
      <w:r w:rsidRPr="00BA09AB">
        <w:t>.</w:t>
      </w:r>
    </w:p>
    <w:p w:rsidR="00A07F7E" w:rsidRPr="00BA09AB" w:rsidRDefault="00A07F7E" w:rsidP="00A07F7E">
      <w:pPr>
        <w:pStyle w:val="BodyTextIndent"/>
        <w:rPr>
          <w:b/>
        </w:rPr>
      </w:pPr>
    </w:p>
    <w:p w:rsidR="00A07F7E" w:rsidRPr="00FA5D10" w:rsidRDefault="00A07F7E" w:rsidP="00A07F7E">
      <w:pPr>
        <w:pStyle w:val="BodyTextIndent"/>
      </w:pPr>
    </w:p>
    <w:p w:rsidR="00A07F7E" w:rsidRPr="00064FFE" w:rsidRDefault="00A07F7E" w:rsidP="00A838C2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A5D10">
        <w:rPr>
          <w:rFonts w:ascii="All Times New Roman" w:hAnsi="All Times New Roman" w:cs="All Times New Roman"/>
        </w:rPr>
        <w:t xml:space="preserve">Комплексната оценка (КОД) </w:t>
      </w:r>
      <w:r w:rsidR="00064FFE">
        <w:rPr>
          <w:rFonts w:ascii="All Times New Roman" w:hAnsi="All Times New Roman" w:cs="All Times New Roman"/>
        </w:rPr>
        <w:t>на офертите за</w:t>
      </w:r>
      <w:r w:rsidRPr="00FA5D10">
        <w:rPr>
          <w:rFonts w:ascii="All Times New Roman" w:hAnsi="All Times New Roman" w:cs="All Times New Roman"/>
        </w:rPr>
        <w:t xml:space="preserve"> </w:t>
      </w:r>
      <w:r w:rsidR="00064FFE">
        <w:rPr>
          <w:rFonts w:ascii="Times New Roman" w:eastAsia="Times New Roman" w:hAnsi="Times New Roman"/>
          <w:sz w:val="24"/>
          <w:szCs w:val="24"/>
          <w:lang w:eastAsia="en-GB"/>
        </w:rPr>
        <w:t>и</w:t>
      </w:r>
      <w:r w:rsidR="00064FFE" w:rsidRPr="000265E6">
        <w:rPr>
          <w:rFonts w:ascii="Times New Roman" w:eastAsia="Times New Roman" w:hAnsi="Times New Roman"/>
          <w:sz w:val="24"/>
          <w:szCs w:val="24"/>
          <w:lang w:eastAsia="en-GB"/>
        </w:rPr>
        <w:t xml:space="preserve">збор на изпълнител на: </w:t>
      </w:r>
      <w:r w:rsidR="00064FFE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064FFE" w:rsidRPr="00C24E70">
        <w:rPr>
          <w:rFonts w:ascii="Times New Roman" w:eastAsia="Times New Roman" w:hAnsi="Times New Roman"/>
          <w:sz w:val="24"/>
          <w:szCs w:val="24"/>
          <w:lang w:eastAsia="bg-BG"/>
        </w:rPr>
        <w:t>Доставка и монтаж на обзавеждане и техническо оборудване за детските градини в Община Садово”</w:t>
      </w:r>
      <w:r w:rsidR="00064FF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838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5D10">
        <w:rPr>
          <w:rFonts w:ascii="All Times New Roman" w:hAnsi="All Times New Roman" w:cs="All Times New Roman"/>
        </w:rPr>
        <w:t>се изчислява като сума от индивидуалните оценки по предварително определените показатели, както следва:</w:t>
      </w:r>
    </w:p>
    <w:p w:rsidR="00A07F7E" w:rsidRPr="00FA5D10" w:rsidRDefault="00A07F7E" w:rsidP="00A07F7E">
      <w:pPr>
        <w:jc w:val="both"/>
        <w:rPr>
          <w:rFonts w:ascii="All Times New Roman" w:hAnsi="All Times New Roman" w:cs="All Times New Roman"/>
          <w:szCs w:val="24"/>
        </w:rPr>
      </w:pPr>
    </w:p>
    <w:p w:rsidR="00A07F7E" w:rsidRPr="00FA5D10" w:rsidRDefault="00A07F7E" w:rsidP="00A07F7E">
      <w:pPr>
        <w:jc w:val="center"/>
        <w:rPr>
          <w:rFonts w:ascii="All Times New Roman" w:hAnsi="All Times New Roman" w:cs="All Times New Roman"/>
          <w:b/>
          <w:szCs w:val="24"/>
          <w:vertAlign w:val="subscript"/>
        </w:rPr>
      </w:pPr>
      <w:r w:rsidRPr="00FA5D10">
        <w:rPr>
          <w:rFonts w:ascii="All Times New Roman" w:hAnsi="All Times New Roman" w:cs="All Times New Roman"/>
          <w:b/>
          <w:szCs w:val="24"/>
        </w:rPr>
        <w:t>КОД = П</w:t>
      </w:r>
      <w:r w:rsidRPr="00FA5D10">
        <w:rPr>
          <w:rFonts w:ascii="All Times New Roman" w:hAnsi="All Times New Roman" w:cs="All Times New Roman"/>
          <w:b/>
          <w:szCs w:val="24"/>
          <w:vertAlign w:val="subscript"/>
        </w:rPr>
        <w:t>1</w:t>
      </w:r>
      <w:r w:rsidRPr="00FA5D10">
        <w:rPr>
          <w:rFonts w:ascii="All Times New Roman" w:hAnsi="All Times New Roman" w:cs="All Times New Roman"/>
          <w:b/>
          <w:szCs w:val="24"/>
        </w:rPr>
        <w:t xml:space="preserve"> + П</w:t>
      </w:r>
      <w:r w:rsidRPr="00FA5D10">
        <w:rPr>
          <w:rFonts w:ascii="All Times New Roman" w:hAnsi="All Times New Roman" w:cs="All Times New Roman"/>
          <w:b/>
          <w:szCs w:val="24"/>
          <w:vertAlign w:val="subscript"/>
        </w:rPr>
        <w:t>2</w:t>
      </w:r>
      <w:r w:rsidRPr="00FA5D10">
        <w:rPr>
          <w:rFonts w:ascii="All Times New Roman" w:hAnsi="All Times New Roman" w:cs="All Times New Roman"/>
          <w:b/>
          <w:szCs w:val="24"/>
        </w:rPr>
        <w:t xml:space="preserve"> + П</w:t>
      </w:r>
      <w:r w:rsidR="003A5718">
        <w:rPr>
          <w:rFonts w:ascii="All Times New Roman" w:hAnsi="All Times New Roman" w:cs="All Times New Roman"/>
          <w:b/>
          <w:szCs w:val="24"/>
          <w:vertAlign w:val="subscript"/>
        </w:rPr>
        <w:t>3</w:t>
      </w:r>
    </w:p>
    <w:p w:rsidR="00A07F7E" w:rsidRPr="00FA5D10" w:rsidRDefault="00A07F7E" w:rsidP="00A07F7E">
      <w:pPr>
        <w:jc w:val="both"/>
        <w:rPr>
          <w:rFonts w:ascii="All Times New Roman" w:hAnsi="All Times New Roman" w:cs="All Times New Roman"/>
        </w:rPr>
      </w:pPr>
    </w:p>
    <w:p w:rsidR="00A07F7E" w:rsidRPr="00FA5D10" w:rsidRDefault="00A07F7E" w:rsidP="00A07F7E">
      <w:pPr>
        <w:pStyle w:val="BodyTextIndent"/>
        <w:suppressAutoHyphens/>
        <w:rPr>
          <w:b/>
        </w:rPr>
      </w:pPr>
      <w:r w:rsidRPr="00FA5D10">
        <w:rPr>
          <w:rFonts w:ascii="All Times New Roman" w:hAnsi="All Times New Roman" w:cs="All Times New Roman"/>
          <w:spacing w:val="-2"/>
        </w:rPr>
        <w:lastRenderedPageBreak/>
        <w:t xml:space="preserve">В случай, че двама или повече кандидати съберат равен брой точки, приоритет получава участникът, предложил по-добри условия по Показател </w:t>
      </w:r>
      <w:r w:rsidRPr="00FA5D10">
        <w:rPr>
          <w:rFonts w:ascii="All Times New Roman" w:hAnsi="All Times New Roman" w:cs="All Times New Roman"/>
          <w:spacing w:val="-2"/>
          <w:lang w:val="en-US"/>
        </w:rPr>
        <w:t>3</w:t>
      </w:r>
      <w:r w:rsidRPr="00FA5D10">
        <w:rPr>
          <w:rFonts w:ascii="All Times New Roman" w:hAnsi="All Times New Roman" w:cs="All Times New Roman"/>
          <w:spacing w:val="-2"/>
        </w:rPr>
        <w:t xml:space="preserve"> – </w:t>
      </w:r>
      <w:r w:rsidR="002E45CF">
        <w:rPr>
          <w:rFonts w:ascii="All Times New Roman" w:hAnsi="All Times New Roman" w:cs="All Times New Roman"/>
        </w:rPr>
        <w:t>„Гаранционен срок</w:t>
      </w:r>
      <w:r w:rsidRPr="00FA5D10">
        <w:rPr>
          <w:rFonts w:ascii="All Times New Roman" w:hAnsi="All Times New Roman" w:cs="All Times New Roman"/>
        </w:rPr>
        <w:t>”</w:t>
      </w:r>
      <w:r w:rsidRPr="00FA5D10">
        <w:rPr>
          <w:rFonts w:ascii="All Times New Roman" w:hAnsi="All Times New Roman" w:cs="All Times New Roman"/>
          <w:spacing w:val="-2"/>
        </w:rPr>
        <w:t xml:space="preserve">. Участникът, класиран от Комисията на първо място, се определя за изпълнител </w:t>
      </w:r>
      <w:r w:rsidR="00064FFE">
        <w:rPr>
          <w:rFonts w:ascii="All Times New Roman" w:hAnsi="All Times New Roman" w:cs="All Times New Roman"/>
          <w:spacing w:val="-2"/>
        </w:rPr>
        <w:t>по</w:t>
      </w:r>
      <w:r w:rsidRPr="00FA5D10">
        <w:rPr>
          <w:rFonts w:ascii="All Times New Roman" w:hAnsi="All Times New Roman" w:cs="All Times New Roman"/>
          <w:spacing w:val="-2"/>
        </w:rPr>
        <w:t xml:space="preserve"> настоящата процедура.</w:t>
      </w:r>
    </w:p>
    <w:p w:rsidR="00A07F7E" w:rsidRDefault="00A07F7E" w:rsidP="00A07F7E">
      <w:pPr>
        <w:pStyle w:val="BodyText"/>
        <w:rPr>
          <w:b/>
        </w:rPr>
      </w:pPr>
    </w:p>
    <w:p w:rsidR="00BA09AB" w:rsidRDefault="00BA09AB" w:rsidP="00A07F7E">
      <w:pPr>
        <w:pStyle w:val="BodyText"/>
        <w:rPr>
          <w:b/>
        </w:rPr>
      </w:pPr>
    </w:p>
    <w:p w:rsidR="00BA09AB" w:rsidRDefault="00BA09AB" w:rsidP="00BA09AB">
      <w:pPr>
        <w:pStyle w:val="BodyText"/>
        <w:rPr>
          <w:b/>
        </w:rPr>
      </w:pPr>
      <w:r>
        <w:rPr>
          <w:b/>
        </w:rPr>
        <w:t>*Под „оборудване“ в настоящата методология се включват предметите от редове 1-2 (включително) от Техническа спецификация.</w:t>
      </w:r>
    </w:p>
    <w:p w:rsidR="00993E2F" w:rsidRPr="00BA09AB" w:rsidRDefault="00BA09AB" w:rsidP="00BA09AB">
      <w:pPr>
        <w:pStyle w:val="BodyText"/>
        <w:rPr>
          <w:b/>
        </w:rPr>
      </w:pPr>
      <w:r>
        <w:rPr>
          <w:b/>
        </w:rPr>
        <w:t xml:space="preserve">**Под „обзавеждане“ в настоящата методология се включват предметите от редове 3-13 (включително) от Техническа спецификация. </w:t>
      </w:r>
    </w:p>
    <w:sectPr w:rsidR="00993E2F" w:rsidRPr="00BA09AB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DE" w:rsidRDefault="00047CDE" w:rsidP="001B19C0">
      <w:pPr>
        <w:spacing w:after="0" w:line="240" w:lineRule="auto"/>
      </w:pPr>
      <w:r>
        <w:separator/>
      </w:r>
    </w:p>
  </w:endnote>
  <w:endnote w:type="continuationSeparator" w:id="0">
    <w:p w:rsidR="00047CDE" w:rsidRDefault="00047CDE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DE" w:rsidRDefault="00047CDE" w:rsidP="001B19C0">
      <w:pPr>
        <w:spacing w:after="0" w:line="240" w:lineRule="auto"/>
      </w:pPr>
      <w:r>
        <w:separator/>
      </w:r>
    </w:p>
  </w:footnote>
  <w:footnote w:type="continuationSeparator" w:id="0">
    <w:p w:rsidR="00047CDE" w:rsidRDefault="00047CDE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CE057F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38735</wp:posOffset>
              </wp:positionV>
              <wp:extent cx="2545715" cy="1776095"/>
              <wp:effectExtent l="0" t="0" r="0" b="0"/>
              <wp:wrapNone/>
              <wp:docPr id="5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177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36F" w:rsidRDefault="00216B6A">
                          <w:r w:rsidRPr="00FD02CB"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2354580" cy="1569720"/>
                                <wp:effectExtent l="0" t="0" r="7620" b="0"/>
                                <wp:docPr id="6" name="Картина 2" descr="http://bg06eeagrants.bg/sites/all/themes/marinelli/img/backgrounds/ti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 descr="http://bg06eeagrants.bg/sites/all/themes/marinelli/img/backgrounds/ti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4580" cy="156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347.85pt;margin-top:3.05pt;width:200.45pt;height:139.85pt;z-index:-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7P0wIAAMk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" filled="f" stroked="f">
              <v:textbox style="mso-fit-shape-to-text:t">
                <w:txbxContent>
                  <w:p w:rsidR="00AD636F" w:rsidRDefault="00216B6A">
                    <w:r w:rsidRPr="00FD02CB"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2354580" cy="1569720"/>
                          <wp:effectExtent l="0" t="0" r="7620" b="0"/>
                          <wp:docPr id="6" name="Картина 2" descr="http://bg06eeagrants.bg/sites/all/themes/marinelli/img/backgrounds/ti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 descr="http://bg06eeagrants.bg/sites/all/themes/marinelli/img/backgrounds/ti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4580" cy="156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A0F">
      <w:rPr>
        <w:sz w:val="28"/>
        <w:szCs w:val="28"/>
        <w:lang w:val="en-US"/>
      </w:rPr>
      <w:t xml:space="preserve"> 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A0F">
      <w:rPr>
        <w:sz w:val="28"/>
        <w:szCs w:val="28"/>
        <w:lang w:val="en-US"/>
      </w:rPr>
      <w:t xml:space="preserve">  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CE057F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-649605</wp:posOffset>
              </wp:positionH>
              <wp:positionV relativeFrom="paragraph">
                <wp:posOffset>191135</wp:posOffset>
              </wp:positionV>
              <wp:extent cx="5153660" cy="8890"/>
              <wp:effectExtent l="0" t="0" r="27940" b="2921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53660" cy="88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7A6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1.15pt;margin-top:15.05pt;width:405.8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    </w:pict>
        </mc:Fallback>
      </mc:AlternateConten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807D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B96B6E"/>
    <w:multiLevelType w:val="hybridMultilevel"/>
    <w:tmpl w:val="07221700"/>
    <w:lvl w:ilvl="0" w:tplc="99EEB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ACE2EE8"/>
    <w:multiLevelType w:val="hybridMultilevel"/>
    <w:tmpl w:val="4D48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6833"/>
    <w:multiLevelType w:val="hybridMultilevel"/>
    <w:tmpl w:val="DE143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D26E58"/>
    <w:multiLevelType w:val="hybridMultilevel"/>
    <w:tmpl w:val="835CC8D2"/>
    <w:lvl w:ilvl="0" w:tplc="8C8C7C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E7"/>
    <w:rsid w:val="000265E6"/>
    <w:rsid w:val="00047CDE"/>
    <w:rsid w:val="000533D4"/>
    <w:rsid w:val="0005571C"/>
    <w:rsid w:val="00057CF9"/>
    <w:rsid w:val="00063B91"/>
    <w:rsid w:val="00064FFE"/>
    <w:rsid w:val="0008356C"/>
    <w:rsid w:val="000A26CB"/>
    <w:rsid w:val="000B013C"/>
    <w:rsid w:val="000D62AA"/>
    <w:rsid w:val="00102330"/>
    <w:rsid w:val="00153D22"/>
    <w:rsid w:val="00156BE0"/>
    <w:rsid w:val="00160516"/>
    <w:rsid w:val="00164A75"/>
    <w:rsid w:val="001B19C0"/>
    <w:rsid w:val="00216B6A"/>
    <w:rsid w:val="00246236"/>
    <w:rsid w:val="002C5451"/>
    <w:rsid w:val="002E45CF"/>
    <w:rsid w:val="002F3A0F"/>
    <w:rsid w:val="002F69A4"/>
    <w:rsid w:val="003212EC"/>
    <w:rsid w:val="00360EE7"/>
    <w:rsid w:val="003A5718"/>
    <w:rsid w:val="003F18CD"/>
    <w:rsid w:val="003F5419"/>
    <w:rsid w:val="00415689"/>
    <w:rsid w:val="004545E4"/>
    <w:rsid w:val="0056442F"/>
    <w:rsid w:val="005C2CB0"/>
    <w:rsid w:val="005E245E"/>
    <w:rsid w:val="00621F44"/>
    <w:rsid w:val="00624082"/>
    <w:rsid w:val="00692F8D"/>
    <w:rsid w:val="006C0B01"/>
    <w:rsid w:val="006F65DA"/>
    <w:rsid w:val="0070682A"/>
    <w:rsid w:val="00746D14"/>
    <w:rsid w:val="007D1A9B"/>
    <w:rsid w:val="00846E12"/>
    <w:rsid w:val="00875634"/>
    <w:rsid w:val="008F4CEC"/>
    <w:rsid w:val="009051F4"/>
    <w:rsid w:val="00940690"/>
    <w:rsid w:val="00942D98"/>
    <w:rsid w:val="00946E26"/>
    <w:rsid w:val="00952F1F"/>
    <w:rsid w:val="00966C80"/>
    <w:rsid w:val="00982E25"/>
    <w:rsid w:val="00993E2F"/>
    <w:rsid w:val="009B0FFB"/>
    <w:rsid w:val="009C36CA"/>
    <w:rsid w:val="009D1A5A"/>
    <w:rsid w:val="009F79E1"/>
    <w:rsid w:val="00A07F7E"/>
    <w:rsid w:val="00A27918"/>
    <w:rsid w:val="00A45948"/>
    <w:rsid w:val="00A50466"/>
    <w:rsid w:val="00A82100"/>
    <w:rsid w:val="00A838C2"/>
    <w:rsid w:val="00AB714D"/>
    <w:rsid w:val="00AD636F"/>
    <w:rsid w:val="00B2561C"/>
    <w:rsid w:val="00B361D4"/>
    <w:rsid w:val="00B55F65"/>
    <w:rsid w:val="00BA09AB"/>
    <w:rsid w:val="00BA0A88"/>
    <w:rsid w:val="00BC584D"/>
    <w:rsid w:val="00C11D2A"/>
    <w:rsid w:val="00C451DE"/>
    <w:rsid w:val="00C46B88"/>
    <w:rsid w:val="00C64989"/>
    <w:rsid w:val="00C720AE"/>
    <w:rsid w:val="00CE057F"/>
    <w:rsid w:val="00CF26EC"/>
    <w:rsid w:val="00CF63A8"/>
    <w:rsid w:val="00D176F7"/>
    <w:rsid w:val="00D2296B"/>
    <w:rsid w:val="00D42FF9"/>
    <w:rsid w:val="00D50112"/>
    <w:rsid w:val="00D8383B"/>
    <w:rsid w:val="00D8565B"/>
    <w:rsid w:val="00D94692"/>
    <w:rsid w:val="00E97ADA"/>
    <w:rsid w:val="00EA41B1"/>
    <w:rsid w:val="00EF6C0D"/>
    <w:rsid w:val="00F01A4D"/>
    <w:rsid w:val="00F3756B"/>
    <w:rsid w:val="00F539A5"/>
    <w:rsid w:val="00F57028"/>
    <w:rsid w:val="00F66B76"/>
    <w:rsid w:val="00FA4CD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7C14D7-0B6C-401A-9A24-C348A7C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F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D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C46B8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6B8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eemph1">
    <w:name w:val="title_emph1"/>
    <w:basedOn w:val="DefaultParagraphFont"/>
    <w:rsid w:val="00C46B88"/>
    <w:rPr>
      <w:rFonts w:ascii="Arial" w:hAnsi="Arial" w:cs="Arial" w:hint="default"/>
      <w:b/>
      <w:bCs/>
      <w:sz w:val="18"/>
      <w:szCs w:val="18"/>
    </w:rPr>
  </w:style>
  <w:style w:type="paragraph" w:styleId="BodyText">
    <w:name w:val="Body Text"/>
    <w:basedOn w:val="Normal"/>
    <w:link w:val="BodyTextChar"/>
    <w:rsid w:val="00C46B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6B88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46B88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C46B88"/>
    <w:rPr>
      <w:rFonts w:ascii="Times New Roman" w:eastAsia="Times New Roman" w:hAnsi="Times New Roman"/>
      <w:i/>
      <w:sz w:val="24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C46B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6B88"/>
    <w:rPr>
      <w:rFonts w:ascii="Times New Roman" w:eastAsia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C8BC-AF58-4EDA-B327-4215FEB4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15</cp:revision>
  <cp:lastPrinted>2015-01-19T11:15:00Z</cp:lastPrinted>
  <dcterms:created xsi:type="dcterms:W3CDTF">2015-01-15T11:08:00Z</dcterms:created>
  <dcterms:modified xsi:type="dcterms:W3CDTF">2015-06-24T13:46:00Z</dcterms:modified>
</cp:coreProperties>
</file>